
<file path=[Content_Types].xml><?xml version="1.0" encoding="utf-8"?>
<Types xmlns="http://schemas.openxmlformats.org/package/2006/content-types">
  <Default Extension="xml" ContentType="application/xml"/>
  <Default Extension="jpeg" ContentType="image/jpeg"/>
  <Default Extension="JPG" ContentType="image/.jpg"/>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left" w:pos="360"/>
        </w:tabs>
        <w:spacing w:line="360" w:lineRule="auto"/>
        <w:ind w:firstLine="480" w:firstLineChars="200"/>
        <w:rPr>
          <w:sz w:val="24"/>
        </w:rPr>
      </w:pPr>
      <w:r>
        <w:rPr>
          <w:sz w:val="24"/>
        </w:rPr>
        <w:drawing>
          <wp:anchor distT="0" distB="0" distL="114300" distR="114300" simplePos="0" relativeHeight="251659264" behindDoc="0" locked="0" layoutInCell="1" allowOverlap="1">
            <wp:simplePos x="0" y="0"/>
            <wp:positionH relativeFrom="column">
              <wp:posOffset>102870</wp:posOffset>
            </wp:positionH>
            <wp:positionV relativeFrom="paragraph">
              <wp:posOffset>294640</wp:posOffset>
            </wp:positionV>
            <wp:extent cx="2400300" cy="852170"/>
            <wp:effectExtent l="0" t="0" r="0" b="5080"/>
            <wp:wrapNone/>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24">
                      <a:extLst>
                        <a:ext uri="{28A0092B-C50C-407E-A947-70E740481C1C}">
                          <a14:useLocalDpi xmlns:a14="http://schemas.microsoft.com/office/drawing/2010/main" val="0"/>
                        </a:ext>
                      </a:extLst>
                    </a:blip>
                    <a:stretch>
                      <a:fillRect/>
                    </a:stretch>
                  </pic:blipFill>
                  <pic:spPr>
                    <a:xfrm>
                      <a:off x="0" y="0"/>
                      <a:ext cx="2400300" cy="852170"/>
                    </a:xfrm>
                    <a:prstGeom prst="rect">
                      <a:avLst/>
                    </a:prstGeom>
                  </pic:spPr>
                </pic:pic>
              </a:graphicData>
            </a:graphic>
          </wp:anchor>
        </w:drawing>
      </w:r>
    </w:p>
    <w:p>
      <w:pPr>
        <w:pStyle w:val="60"/>
        <w:spacing w:line="900" w:lineRule="exact"/>
        <w:rPr>
          <w:rStyle w:val="58"/>
          <w:rFonts w:ascii="宋体" w:hAnsi="宋体" w:cs="仿宋"/>
          <w:b/>
          <w:bCs/>
          <w:sz w:val="52"/>
          <w:szCs w:val="36"/>
        </w:rPr>
      </w:pPr>
    </w:p>
    <w:p>
      <w:pPr>
        <w:pStyle w:val="60"/>
        <w:spacing w:line="900" w:lineRule="exact"/>
        <w:jc w:val="center"/>
        <w:rPr>
          <w:rStyle w:val="58"/>
          <w:rFonts w:ascii="宋体" w:hAnsi="宋体" w:cs="仿宋"/>
          <w:b/>
          <w:bCs/>
          <w:sz w:val="52"/>
          <w:szCs w:val="36"/>
        </w:rPr>
      </w:pPr>
    </w:p>
    <w:p>
      <w:pPr>
        <w:pStyle w:val="60"/>
        <w:jc w:val="center"/>
        <w:rPr>
          <w:rStyle w:val="58"/>
          <w:rFonts w:ascii="宋体" w:hAnsi="宋体"/>
          <w:b/>
          <w:sz w:val="18"/>
          <w:szCs w:val="18"/>
        </w:rPr>
      </w:pPr>
      <w:bookmarkStart w:id="0" w:name="_Hlk209620515"/>
      <w:r>
        <w:rPr>
          <w:rFonts w:hint="eastAsia" w:ascii="宋体" w:hAnsi="宋体" w:cs="仿宋"/>
          <w:b/>
          <w:bCs/>
          <w:sz w:val="48"/>
          <w:szCs w:val="48"/>
        </w:rPr>
        <w:t>济南橡塑件公司新能源高压线束车间改造技改项目</w:t>
      </w:r>
      <w:r>
        <w:rPr>
          <w:rStyle w:val="58"/>
          <w:rFonts w:hint="eastAsia" w:ascii="宋体" w:hAnsi="宋体" w:cs="仿宋"/>
          <w:b/>
          <w:bCs/>
          <w:sz w:val="48"/>
          <w:szCs w:val="48"/>
        </w:rPr>
        <w:t>工程施工</w:t>
      </w:r>
    </w:p>
    <w:bookmarkEnd w:id="0"/>
    <w:p>
      <w:pPr>
        <w:pStyle w:val="60"/>
        <w:rPr>
          <w:rStyle w:val="58"/>
          <w:rFonts w:ascii="宋体" w:hAnsi="宋体"/>
          <w:b/>
          <w:sz w:val="18"/>
          <w:szCs w:val="18"/>
        </w:rPr>
      </w:pPr>
    </w:p>
    <w:p>
      <w:pPr>
        <w:pStyle w:val="60"/>
        <w:rPr>
          <w:rStyle w:val="58"/>
          <w:rFonts w:ascii="宋体" w:hAnsi="宋体"/>
          <w:b/>
          <w:sz w:val="18"/>
          <w:szCs w:val="18"/>
        </w:rPr>
      </w:pPr>
    </w:p>
    <w:p>
      <w:pPr>
        <w:pStyle w:val="60"/>
        <w:rPr>
          <w:rStyle w:val="58"/>
          <w:rFonts w:ascii="宋体" w:hAnsi="宋体"/>
          <w:b/>
          <w:sz w:val="18"/>
          <w:szCs w:val="18"/>
        </w:rPr>
      </w:pPr>
    </w:p>
    <w:p>
      <w:pPr>
        <w:pStyle w:val="60"/>
        <w:jc w:val="center"/>
        <w:rPr>
          <w:rStyle w:val="58"/>
          <w:rFonts w:ascii="宋体" w:hAnsi="宋体"/>
          <w:b/>
          <w:sz w:val="84"/>
          <w:szCs w:val="84"/>
        </w:rPr>
      </w:pPr>
      <w:r>
        <w:rPr>
          <w:rStyle w:val="58"/>
          <w:rFonts w:ascii="宋体" w:hAnsi="宋体"/>
          <w:b/>
          <w:sz w:val="84"/>
          <w:szCs w:val="84"/>
        </w:rPr>
        <w:t>招 标 文 件</w:t>
      </w:r>
    </w:p>
    <w:p>
      <w:pPr>
        <w:pStyle w:val="60"/>
        <w:jc w:val="center"/>
        <w:rPr>
          <w:rStyle w:val="58"/>
          <w:rFonts w:ascii="宋体" w:hAnsi="宋体"/>
          <w:b/>
          <w:sz w:val="32"/>
          <w:szCs w:val="32"/>
        </w:rPr>
      </w:pPr>
    </w:p>
    <w:p>
      <w:pPr>
        <w:snapToGrid w:val="0"/>
        <w:spacing w:line="300" w:lineRule="auto"/>
        <w:jc w:val="center"/>
        <w:rPr>
          <w:rStyle w:val="58"/>
          <w:rFonts w:ascii="宋体" w:hAnsi="宋体"/>
          <w:b/>
          <w:bCs/>
        </w:rPr>
      </w:pPr>
      <w:r>
        <w:rPr>
          <w:rStyle w:val="58"/>
          <w:rFonts w:ascii="宋体" w:hAnsi="宋体"/>
          <w:b/>
          <w:bCs/>
          <w:sz w:val="24"/>
          <w:szCs w:val="32"/>
        </w:rPr>
        <w:t>招标编号:</w:t>
      </w:r>
      <w:r>
        <w:t xml:space="preserve"> </w:t>
      </w:r>
      <w:r>
        <w:rPr>
          <w:rStyle w:val="58"/>
          <w:rFonts w:hint="eastAsia" w:ascii="宋体" w:hAnsi="宋体"/>
          <w:b/>
          <w:bCs/>
          <w:sz w:val="24"/>
          <w:szCs w:val="32"/>
        </w:rPr>
        <w:t>FSCZB2025100067</w:t>
      </w:r>
    </w:p>
    <w:p>
      <w:pPr>
        <w:snapToGrid w:val="0"/>
        <w:spacing w:line="300" w:lineRule="auto"/>
        <w:ind w:firstLine="1355" w:firstLineChars="450"/>
        <w:rPr>
          <w:rStyle w:val="58"/>
          <w:rFonts w:ascii="宋体" w:hAnsi="宋体"/>
          <w:b/>
          <w:sz w:val="30"/>
        </w:rPr>
      </w:pPr>
    </w:p>
    <w:p>
      <w:pPr>
        <w:snapToGrid w:val="0"/>
        <w:spacing w:line="300" w:lineRule="auto"/>
        <w:ind w:firstLine="1355" w:firstLineChars="450"/>
        <w:rPr>
          <w:rStyle w:val="58"/>
          <w:rFonts w:ascii="宋体" w:hAnsi="宋体"/>
          <w:b/>
          <w:sz w:val="30"/>
        </w:rPr>
      </w:pPr>
    </w:p>
    <w:p>
      <w:pPr>
        <w:snapToGrid w:val="0"/>
        <w:spacing w:line="300" w:lineRule="auto"/>
        <w:ind w:firstLine="1355" w:firstLineChars="450"/>
        <w:rPr>
          <w:rStyle w:val="58"/>
          <w:rFonts w:ascii="宋体" w:hAnsi="宋体"/>
          <w:b/>
          <w:sz w:val="30"/>
        </w:rPr>
      </w:pPr>
    </w:p>
    <w:p>
      <w:pPr>
        <w:pStyle w:val="19"/>
      </w:pPr>
    </w:p>
    <w:p>
      <w:pPr>
        <w:snapToGrid w:val="0"/>
        <w:spacing w:line="560" w:lineRule="exact"/>
        <w:rPr>
          <w:rStyle w:val="58"/>
          <w:rFonts w:ascii="宋体" w:hAnsi="宋体"/>
          <w:b/>
          <w:sz w:val="30"/>
        </w:rPr>
      </w:pPr>
    </w:p>
    <w:p>
      <w:pPr>
        <w:spacing w:line="360" w:lineRule="auto"/>
        <w:jc w:val="center"/>
        <w:rPr>
          <w:rStyle w:val="58"/>
          <w:rFonts w:ascii="宋体" w:hAnsi="宋体"/>
          <w:b/>
          <w:sz w:val="30"/>
        </w:rPr>
      </w:pPr>
      <w:r>
        <w:rPr>
          <w:rStyle w:val="58"/>
          <w:rFonts w:ascii="宋体" w:hAnsi="宋体"/>
          <w:b/>
          <w:sz w:val="30"/>
        </w:rPr>
        <w:t>招 标 人：</w:t>
      </w:r>
      <w:r>
        <w:rPr>
          <w:rStyle w:val="58"/>
          <w:rFonts w:hint="eastAsia" w:ascii="宋体" w:hAnsi="宋体"/>
          <w:b/>
          <w:sz w:val="30"/>
        </w:rPr>
        <w:t>中国重汽集团济南动力有限公司</w:t>
      </w:r>
    </w:p>
    <w:p>
      <w:pPr>
        <w:snapToGrid w:val="0"/>
        <w:spacing w:line="560" w:lineRule="exact"/>
        <w:jc w:val="center"/>
        <w:rPr>
          <w:rStyle w:val="58"/>
          <w:rFonts w:ascii="宋体" w:hAnsi="宋体"/>
          <w:b/>
          <w:sz w:val="30"/>
        </w:rPr>
      </w:pPr>
      <w:r>
        <w:rPr>
          <w:rStyle w:val="58"/>
          <w:rFonts w:ascii="宋体" w:hAnsi="宋体"/>
          <w:b/>
          <w:sz w:val="30"/>
        </w:rPr>
        <w:t>编制日期：二〇</w:t>
      </w:r>
      <w:r>
        <w:rPr>
          <w:rStyle w:val="58"/>
          <w:rFonts w:hint="eastAsia" w:ascii="宋体" w:hAnsi="宋体"/>
          <w:b/>
          <w:sz w:val="30"/>
        </w:rPr>
        <w:t>二五</w:t>
      </w:r>
      <w:r>
        <w:rPr>
          <w:rStyle w:val="58"/>
          <w:rFonts w:ascii="宋体" w:hAnsi="宋体"/>
          <w:b/>
          <w:sz w:val="30"/>
        </w:rPr>
        <w:t>年</w:t>
      </w:r>
      <w:r>
        <w:rPr>
          <w:rStyle w:val="58"/>
          <w:rFonts w:hint="eastAsia" w:ascii="宋体" w:hAnsi="宋体"/>
          <w:b/>
          <w:sz w:val="30"/>
        </w:rPr>
        <w:t>十</w:t>
      </w:r>
      <w:r>
        <w:rPr>
          <w:rStyle w:val="58"/>
          <w:rFonts w:ascii="宋体" w:hAnsi="宋体"/>
          <w:b/>
          <w:sz w:val="30"/>
        </w:rPr>
        <w:t>月</w:t>
      </w:r>
    </w:p>
    <w:p>
      <w:pPr>
        <w:snapToGrid w:val="0"/>
        <w:spacing w:line="360" w:lineRule="auto"/>
        <w:jc w:val="center"/>
        <w:rPr>
          <w:rStyle w:val="58"/>
          <w:rFonts w:ascii="宋体" w:hAnsi="宋体"/>
          <w:b/>
          <w:sz w:val="32"/>
          <w:szCs w:val="44"/>
        </w:rPr>
      </w:pPr>
      <w:r>
        <w:rPr>
          <w:rStyle w:val="58"/>
          <w:rFonts w:ascii="宋体" w:hAnsi="宋体"/>
          <w:b/>
          <w:sz w:val="30"/>
        </w:rPr>
        <w:br w:type="page"/>
      </w:r>
      <w:r>
        <w:rPr>
          <w:rStyle w:val="58"/>
          <w:rFonts w:ascii="宋体" w:hAnsi="宋体"/>
          <w:b/>
          <w:sz w:val="32"/>
          <w:szCs w:val="44"/>
        </w:rPr>
        <w:t>目   录</w:t>
      </w:r>
    </w:p>
    <w:p>
      <w:pPr>
        <w:pStyle w:val="28"/>
        <w:tabs>
          <w:tab w:val="right" w:leader="dot" w:pos="10466"/>
          <w:tab w:val="clear" w:pos="9629"/>
        </w:tabs>
        <w:rPr>
          <w:rFonts w:asciiTheme="minorHAnsi" w:hAnsiTheme="minorHAnsi" w:eastAsiaTheme="minorEastAsia" w:cstheme="minorBidi"/>
          <w:b w:val="0"/>
          <w:szCs w:val="22"/>
        </w:rPr>
      </w:pPr>
      <w:r>
        <w:rPr>
          <w:rStyle w:val="58"/>
          <w:sz w:val="20"/>
        </w:rPr>
        <w:fldChar w:fldCharType="begin"/>
      </w:r>
      <w:r>
        <w:rPr>
          <w:rStyle w:val="58"/>
          <w:rFonts w:asciiTheme="minorEastAsia" w:hAnsiTheme="minorEastAsia" w:eastAsiaTheme="minorEastAsia"/>
          <w:sz w:val="20"/>
          <w:szCs w:val="21"/>
        </w:rPr>
        <w:instrText xml:space="preserve"> TOC \o "1-3" \h \z \u </w:instrText>
      </w:r>
      <w:r>
        <w:rPr>
          <w:rStyle w:val="58"/>
          <w:sz w:val="20"/>
        </w:rPr>
        <w:fldChar w:fldCharType="separate"/>
      </w:r>
      <w:r>
        <w:fldChar w:fldCharType="begin"/>
      </w:r>
      <w:r>
        <w:instrText xml:space="preserve"> HYPERLINK \l "_Toc211261897" </w:instrText>
      </w:r>
      <w:r>
        <w:fldChar w:fldCharType="separate"/>
      </w:r>
      <w:r>
        <w:rPr>
          <w:rStyle w:val="45"/>
        </w:rPr>
        <w:t>第一卷</w:t>
      </w:r>
      <w:r>
        <w:tab/>
      </w:r>
      <w:r>
        <w:fldChar w:fldCharType="begin"/>
      </w:r>
      <w:r>
        <w:instrText xml:space="preserve"> PAGEREF _Toc211261897 \h </w:instrText>
      </w:r>
      <w:r>
        <w:fldChar w:fldCharType="separate"/>
      </w:r>
      <w:r>
        <w:t>1</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"_Toc211261898" </w:instrText>
      </w:r>
      <w:r>
        <w:fldChar w:fldCharType="separate"/>
      </w:r>
      <w:r>
        <w:rPr>
          <w:rStyle w:val="45"/>
        </w:rPr>
        <w:t>第一章   招标公告</w:t>
      </w:r>
      <w:r>
        <w:tab/>
      </w:r>
      <w:r>
        <w:fldChar w:fldCharType="begin"/>
      </w:r>
      <w:r>
        <w:instrText xml:space="preserve"> PAGEREF _Toc211261898 \h </w:instrText>
      </w:r>
      <w:r>
        <w:fldChar w:fldCharType="separate"/>
      </w:r>
      <w:r>
        <w:t>2</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"_Toc211261899" </w:instrText>
      </w:r>
      <w:r>
        <w:fldChar w:fldCharType="separate"/>
      </w:r>
      <w:r>
        <w:rPr>
          <w:rStyle w:val="45"/>
        </w:rPr>
        <w:t>第二章  投标人须知</w:t>
      </w:r>
      <w:r>
        <w:tab/>
      </w:r>
      <w:r>
        <w:fldChar w:fldCharType="begin"/>
      </w:r>
      <w:r>
        <w:instrText xml:space="preserve"> PAGEREF _Toc211261899 \h </w:instrText>
      </w:r>
      <w:r>
        <w:fldChar w:fldCharType="separate"/>
      </w:r>
      <w:r>
        <w:t>17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"_Toc211261900" </w:instrText>
      </w:r>
      <w:r>
        <w:fldChar w:fldCharType="separate"/>
      </w:r>
      <w:r>
        <w:rPr>
          <w:rStyle w:val="45"/>
        </w:rPr>
        <w:t>投标人须知前附表</w:t>
      </w:r>
      <w:r>
        <w:tab/>
      </w:r>
      <w:r>
        <w:fldChar w:fldCharType="begin"/>
      </w:r>
      <w:r>
        <w:instrText xml:space="preserve"> PAGEREF _Toc211261900 \h </w:instrText>
      </w:r>
      <w:r>
        <w:fldChar w:fldCharType="separate"/>
      </w:r>
      <w:r>
        <w:t>17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"_Toc211261901" </w:instrText>
      </w:r>
      <w:r>
        <w:fldChar w:fldCharType="separate"/>
      </w:r>
      <w:r>
        <w:rPr>
          <w:rStyle w:val="45"/>
        </w:rPr>
        <w:t>1. 总则</w:t>
      </w:r>
      <w:r>
        <w:tab/>
      </w:r>
      <w:r>
        <w:fldChar w:fldCharType="begin"/>
      </w:r>
      <w:r>
        <w:instrText xml:space="preserve"> PAGEREF _Toc211261901 \h </w:instrText>
      </w:r>
      <w:r>
        <w:fldChar w:fldCharType="separate"/>
      </w:r>
      <w:r>
        <w:t>24</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"_Toc211261902" </w:instrText>
      </w:r>
      <w:r>
        <w:fldChar w:fldCharType="separate"/>
      </w:r>
      <w:r>
        <w:rPr>
          <w:rStyle w:val="45"/>
        </w:rPr>
        <w:t>2. 招标文件</w:t>
      </w:r>
      <w:r>
        <w:tab/>
      </w:r>
      <w:r>
        <w:fldChar w:fldCharType="begin"/>
      </w:r>
      <w:r>
        <w:instrText xml:space="preserve"> PAGEREF _Toc211261902 \h </w:instrText>
      </w:r>
      <w:r>
        <w:fldChar w:fldCharType="separate"/>
      </w:r>
      <w:r>
        <w:t>26</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"_Toc211261903" </w:instrText>
      </w:r>
      <w:r>
        <w:fldChar w:fldCharType="separate"/>
      </w:r>
      <w:r>
        <w:rPr>
          <w:rStyle w:val="45"/>
        </w:rPr>
        <w:t>3. 投标文件</w:t>
      </w:r>
      <w:r>
        <w:tab/>
      </w:r>
      <w:r>
        <w:fldChar w:fldCharType="begin"/>
      </w:r>
      <w:r>
        <w:instrText xml:space="preserve"> PAGEREF _Toc211261903 \h </w:instrText>
      </w:r>
      <w:r>
        <w:fldChar w:fldCharType="separate"/>
      </w:r>
      <w:r>
        <w:t>27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"_Toc211261904" </w:instrText>
      </w:r>
      <w:r>
        <w:fldChar w:fldCharType="separate"/>
      </w:r>
      <w:r>
        <w:rPr>
          <w:rStyle w:val="45"/>
        </w:rPr>
        <w:t>4. 投标</w:t>
      </w:r>
      <w:r>
        <w:tab/>
      </w:r>
      <w:r>
        <w:fldChar w:fldCharType="begin"/>
      </w:r>
      <w:r>
        <w:instrText xml:space="preserve"> PAGEREF _Toc211261904 \h </w:instrText>
      </w:r>
      <w:r>
        <w:fldChar w:fldCharType="separate"/>
      </w:r>
      <w:r>
        <w:t>29</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"_Toc211261905" </w:instrText>
      </w:r>
      <w:r>
        <w:fldChar w:fldCharType="separate"/>
      </w:r>
      <w:r>
        <w:rPr>
          <w:rStyle w:val="45"/>
        </w:rPr>
        <w:t>5. 开标</w:t>
      </w:r>
      <w:r>
        <w:tab/>
      </w:r>
      <w:r>
        <w:fldChar w:fldCharType="begin"/>
      </w:r>
      <w:r>
        <w:instrText xml:space="preserve"> PAGEREF _Toc211261905 \h </w:instrText>
      </w:r>
      <w:r>
        <w:fldChar w:fldCharType="separate"/>
      </w:r>
      <w:r>
        <w:t>30</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"_Toc211261906" </w:instrText>
      </w:r>
      <w:r>
        <w:fldChar w:fldCharType="separate"/>
      </w:r>
      <w:r>
        <w:rPr>
          <w:rStyle w:val="45"/>
        </w:rPr>
        <w:t>6. 评标</w:t>
      </w:r>
      <w:r>
        <w:tab/>
      </w:r>
      <w:r>
        <w:fldChar w:fldCharType="begin"/>
      </w:r>
      <w:r>
        <w:instrText xml:space="preserve"> PAGEREF _Toc211261906 \h </w:instrText>
      </w:r>
      <w:r>
        <w:fldChar w:fldCharType="separate"/>
      </w:r>
      <w:r>
        <w:t>31</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"_Toc211261907" </w:instrText>
      </w:r>
      <w:r>
        <w:fldChar w:fldCharType="separate"/>
      </w:r>
      <w:r>
        <w:rPr>
          <w:rStyle w:val="45"/>
        </w:rPr>
        <w:t>7. 合同授予</w:t>
      </w:r>
      <w:r>
        <w:tab/>
      </w:r>
      <w:r>
        <w:fldChar w:fldCharType="begin"/>
      </w:r>
      <w:r>
        <w:instrText xml:space="preserve"> PAGEREF _Toc211261907 \h </w:instrText>
      </w:r>
      <w:r>
        <w:fldChar w:fldCharType="separate"/>
      </w:r>
      <w:r>
        <w:t>32</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"_Toc211261908" </w:instrText>
      </w:r>
      <w:r>
        <w:fldChar w:fldCharType="separate"/>
      </w:r>
      <w:r>
        <w:rPr>
          <w:rStyle w:val="45"/>
        </w:rPr>
        <w:t>8. 重新招标和不再招标</w:t>
      </w:r>
      <w:r>
        <w:tab/>
      </w:r>
      <w:r>
        <w:fldChar w:fldCharType="begin"/>
      </w:r>
      <w:r>
        <w:instrText xml:space="preserve"> PAGEREF _Toc211261908 \h </w:instrText>
      </w:r>
      <w:r>
        <w:fldChar w:fldCharType="separate"/>
      </w:r>
      <w:r>
        <w:t>32</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"_Toc211261909" </w:instrText>
      </w:r>
      <w:r>
        <w:fldChar w:fldCharType="separate"/>
      </w:r>
      <w:r>
        <w:rPr>
          <w:rStyle w:val="45"/>
        </w:rPr>
        <w:t>9. 纪律和监督</w:t>
      </w:r>
      <w:r>
        <w:tab/>
      </w:r>
      <w:r>
        <w:fldChar w:fldCharType="begin"/>
      </w:r>
      <w:r>
        <w:instrText xml:space="preserve"> PAGEREF _Toc211261909 \h </w:instrText>
      </w:r>
      <w:r>
        <w:fldChar w:fldCharType="separate"/>
      </w:r>
      <w:r>
        <w:t>32</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"_Toc211261910" </w:instrText>
      </w:r>
      <w:r>
        <w:fldChar w:fldCharType="separate"/>
      </w:r>
      <w:r>
        <w:rPr>
          <w:rStyle w:val="45"/>
        </w:rPr>
        <w:t>10.中标人瑕疵滞后发现的处理原则</w:t>
      </w:r>
      <w:r>
        <w:tab/>
      </w:r>
      <w:r>
        <w:fldChar w:fldCharType="begin"/>
      </w:r>
      <w:r>
        <w:instrText xml:space="preserve"> PAGEREF _Toc211261910 \h </w:instrText>
      </w:r>
      <w:r>
        <w:fldChar w:fldCharType="separate"/>
      </w:r>
      <w:r>
        <w:t>33</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"_Toc211261911" </w:instrText>
      </w:r>
      <w:r>
        <w:fldChar w:fldCharType="separate"/>
      </w:r>
      <w:r>
        <w:rPr>
          <w:rStyle w:val="45"/>
        </w:rPr>
        <w:t>11. 需要补充的其他内容</w:t>
      </w:r>
      <w:r>
        <w:tab/>
      </w:r>
      <w:r>
        <w:fldChar w:fldCharType="begin"/>
      </w:r>
      <w:r>
        <w:instrText xml:space="preserve"> PAGEREF _Toc211261911 \h </w:instrText>
      </w:r>
      <w:r>
        <w:fldChar w:fldCharType="separate"/>
      </w:r>
      <w:r>
        <w:t>33</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"_Toc211261912" </w:instrText>
      </w:r>
      <w:r>
        <w:fldChar w:fldCharType="separate"/>
      </w:r>
      <w:r>
        <w:rPr>
          <w:rStyle w:val="45"/>
        </w:rPr>
        <w:t>第三章 评标办法</w:t>
      </w:r>
      <w:r>
        <w:tab/>
      </w:r>
      <w:r>
        <w:fldChar w:fldCharType="begin"/>
      </w:r>
      <w:r>
        <w:instrText xml:space="preserve"> PAGEREF _Toc211261912 \h </w:instrText>
      </w:r>
      <w:r>
        <w:fldChar w:fldCharType="separate"/>
      </w:r>
      <w:r>
        <w:t>34</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"_Toc211261913" </w:instrText>
      </w:r>
      <w:r>
        <w:fldChar w:fldCharType="separate"/>
      </w:r>
      <w:r>
        <w:rPr>
          <w:rStyle w:val="45"/>
        </w:rPr>
        <w:t>一、评分细则</w:t>
      </w:r>
      <w:r>
        <w:tab/>
      </w:r>
      <w:r>
        <w:fldChar w:fldCharType="begin"/>
      </w:r>
      <w:r>
        <w:instrText xml:space="preserve"> PAGEREF _Toc211261913 \h </w:instrText>
      </w:r>
      <w:r>
        <w:fldChar w:fldCharType="separate"/>
      </w:r>
      <w:r>
        <w:t>34</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"_Toc211261914" </w:instrText>
      </w:r>
      <w:r>
        <w:fldChar w:fldCharType="separate"/>
      </w:r>
      <w:r>
        <w:rPr>
          <w:rStyle w:val="45"/>
        </w:rPr>
        <w:t>二、评标办法</w:t>
      </w:r>
      <w:r>
        <w:tab/>
      </w:r>
      <w:r>
        <w:fldChar w:fldCharType="begin"/>
      </w:r>
      <w:r>
        <w:instrText xml:space="preserve"> PAGEREF _Toc211261914 \h </w:instrText>
      </w:r>
      <w:r>
        <w:fldChar w:fldCharType="separate"/>
      </w:r>
      <w:r>
        <w:t>35</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"_Toc211261915" </w:instrText>
      </w:r>
      <w:r>
        <w:fldChar w:fldCharType="separate"/>
      </w:r>
      <w:r>
        <w:rPr>
          <w:rStyle w:val="45"/>
        </w:rPr>
        <w:t>第四章 合同条款及格式</w:t>
      </w:r>
      <w:r>
        <w:tab/>
      </w:r>
      <w:r>
        <w:fldChar w:fldCharType="begin"/>
      </w:r>
      <w:r>
        <w:instrText xml:space="preserve"> PAGEREF _Toc211261915 \h </w:instrText>
      </w:r>
      <w:r>
        <w:fldChar w:fldCharType="separate"/>
      </w:r>
      <w:r>
        <w:t>40</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"_Toc211261916" </w:instrText>
      </w:r>
      <w:r>
        <w:fldChar w:fldCharType="separate"/>
      </w:r>
      <w:r>
        <w:rPr>
          <w:rStyle w:val="45"/>
          <w:rFonts w:ascii="华文中宋" w:hAnsi="华文中宋" w:eastAsia="华文中宋"/>
        </w:rPr>
        <w:t>第一部分 合同协议书</w:t>
      </w:r>
      <w:r>
        <w:tab/>
      </w:r>
      <w:r>
        <w:fldChar w:fldCharType="begin"/>
      </w:r>
      <w:r>
        <w:instrText xml:space="preserve"> PAGEREF _Toc211261916 \h </w:instrText>
      </w:r>
      <w:r>
        <w:fldChar w:fldCharType="separate"/>
      </w:r>
      <w:r>
        <w:t>41</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"_Toc211261917" </w:instrText>
      </w:r>
      <w:r>
        <w:fldChar w:fldCharType="separate"/>
      </w:r>
      <w:r>
        <w:rPr>
          <w:rStyle w:val="45"/>
          <w:rFonts w:ascii="华文中宋" w:hAnsi="华文中宋"/>
        </w:rPr>
        <w:t>第二部分 通用合同条款</w:t>
      </w:r>
      <w:r>
        <w:tab/>
      </w:r>
      <w:r>
        <w:fldChar w:fldCharType="begin"/>
      </w:r>
      <w:r>
        <w:instrText xml:space="preserve"> PAGEREF _Toc211261917 \h </w:instrText>
      </w:r>
      <w:r>
        <w:fldChar w:fldCharType="separate"/>
      </w:r>
      <w:r>
        <w:t>48</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"_Toc211261918" </w:instrText>
      </w:r>
      <w:r>
        <w:fldChar w:fldCharType="separate"/>
      </w:r>
      <w:r>
        <w:rPr>
          <w:rStyle w:val="45"/>
          <w:rFonts w:ascii="华文中宋" w:hAnsi="华文中宋" w:eastAsia="华文中宋"/>
        </w:rPr>
        <w:t>第三部分 专用合同条款</w:t>
      </w:r>
      <w:r>
        <w:tab/>
      </w:r>
      <w:r>
        <w:fldChar w:fldCharType="begin"/>
      </w:r>
      <w:r>
        <w:instrText xml:space="preserve"> PAGEREF _Toc211261918 \h </w:instrText>
      </w:r>
      <w:r>
        <w:fldChar w:fldCharType="separate"/>
      </w:r>
      <w:r>
        <w:t>49</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"_Toc211261919" </w:instrText>
      </w:r>
      <w:r>
        <w:fldChar w:fldCharType="separate"/>
      </w:r>
      <w:r>
        <w:rPr>
          <w:rStyle w:val="45"/>
        </w:rPr>
        <w:t>附件</w:t>
      </w:r>
      <w:r>
        <w:tab/>
      </w:r>
      <w:r>
        <w:fldChar w:fldCharType="begin"/>
      </w:r>
      <w:r>
        <w:instrText xml:space="preserve"> PAGEREF _Toc211261919 \h </w:instrText>
      </w:r>
      <w:r>
        <w:fldChar w:fldCharType="separate"/>
      </w:r>
      <w:r>
        <w:t>96</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"_Toc211261920" </w:instrText>
      </w:r>
      <w:r>
        <w:fldChar w:fldCharType="separate"/>
      </w:r>
      <w:r>
        <w:rPr>
          <w:rStyle w:val="45"/>
          <w:rFonts w:ascii="宋体" w:hAnsi="宋体"/>
        </w:rPr>
        <w:t>第五章 投标报价要求</w:t>
      </w:r>
      <w:r>
        <w:tab/>
      </w:r>
      <w:r>
        <w:fldChar w:fldCharType="begin"/>
      </w:r>
      <w:r>
        <w:instrText xml:space="preserve"> PAGEREF _Toc211261920 \h </w:instrText>
      </w:r>
      <w:r>
        <w:fldChar w:fldCharType="separate"/>
      </w:r>
      <w:r>
        <w:t>137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"_Toc211261921" </w:instrText>
      </w:r>
      <w:r>
        <w:fldChar w:fldCharType="separate"/>
      </w:r>
      <w:r>
        <w:rPr>
          <w:rStyle w:val="45"/>
          <w:rFonts w:ascii="宋体" w:hAnsi="宋体" w:cs="TimesNewRomanPSMT"/>
        </w:rPr>
        <w:t>1 工程量清单部分</w:t>
      </w:r>
      <w:r>
        <w:tab/>
      </w:r>
      <w:r>
        <w:fldChar w:fldCharType="begin"/>
      </w:r>
      <w:r>
        <w:instrText xml:space="preserve"> PAGEREF _Toc211261921 \h </w:instrText>
      </w:r>
      <w:r>
        <w:fldChar w:fldCharType="separate"/>
      </w:r>
      <w:r>
        <w:t>137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"_Toc211261922" </w:instrText>
      </w:r>
      <w:r>
        <w:fldChar w:fldCharType="separate"/>
      </w:r>
      <w:r>
        <w:rPr>
          <w:rStyle w:val="45"/>
          <w:rFonts w:ascii="宋体" w:hAnsi="宋体" w:cs="TimesNewRomanPSMT"/>
        </w:rPr>
        <w:t>2 清单以外项目</w:t>
      </w:r>
      <w:r>
        <w:tab/>
      </w:r>
      <w:r>
        <w:fldChar w:fldCharType="begin"/>
      </w:r>
      <w:r>
        <w:instrText xml:space="preserve"> PAGEREF _Toc211261922 \h </w:instrText>
      </w:r>
      <w:r>
        <w:fldChar w:fldCharType="separate"/>
      </w:r>
      <w:r>
        <w:t>140</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"_Toc211261923" </w:instrText>
      </w:r>
      <w:r>
        <w:fldChar w:fldCharType="separate"/>
      </w:r>
      <w:r>
        <w:rPr>
          <w:rStyle w:val="45"/>
          <w:rFonts w:ascii="宋体" w:hAnsi="宋体" w:cs="TimesNewRomanPSMT"/>
        </w:rPr>
        <w:t>3 其他说明</w:t>
      </w:r>
      <w:r>
        <w:tab/>
      </w:r>
      <w:r>
        <w:fldChar w:fldCharType="begin"/>
      </w:r>
      <w:r>
        <w:instrText xml:space="preserve"> PAGEREF _Toc211261923 \h </w:instrText>
      </w:r>
      <w:r>
        <w:fldChar w:fldCharType="separate"/>
      </w:r>
      <w:r>
        <w:t>141</w:t>
      </w:r>
      <w:r>
        <w:fldChar w:fldCharType="end"/>
      </w:r>
      <w:r>
        <w:fldChar w:fldCharType="end"/>
      </w:r>
    </w:p>
    <w:p>
      <w:pPr>
        <w:pStyle w:val="28"/>
        <w:tabs>
          <w:tab w:val="right" w:leader="dot" w:pos="10466"/>
          <w:tab w:val="clear" w:pos="9629"/>
        </w:tabs>
        <w:rPr>
          <w:rFonts w:asciiTheme="minorHAnsi" w:hAnsiTheme="minorHAnsi" w:eastAsiaTheme="minorEastAsia" w:cstheme="minorBidi"/>
          <w:b w:val="0"/>
          <w:szCs w:val="22"/>
        </w:rPr>
      </w:pPr>
      <w:r>
        <w:fldChar w:fldCharType="begin"/>
      </w:r>
      <w:r>
        <w:instrText xml:space="preserve"> HYPERLINK \l "_Toc211261924" </w:instrText>
      </w:r>
      <w:r>
        <w:fldChar w:fldCharType="separate"/>
      </w:r>
      <w:r>
        <w:rPr>
          <w:rStyle w:val="45"/>
        </w:rPr>
        <w:t>第二卷</w:t>
      </w:r>
      <w:r>
        <w:tab/>
      </w:r>
      <w:r>
        <w:fldChar w:fldCharType="begin"/>
      </w:r>
      <w:r>
        <w:instrText xml:space="preserve"> PAGEREF _Toc211261924 \h </w:instrText>
      </w:r>
      <w:r>
        <w:fldChar w:fldCharType="separate"/>
      </w:r>
      <w:r>
        <w:t>145</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"_Toc211261925" </w:instrText>
      </w:r>
      <w:r>
        <w:fldChar w:fldCharType="separate"/>
      </w:r>
      <w:r>
        <w:rPr>
          <w:rStyle w:val="45"/>
        </w:rPr>
        <w:t>第六章  图  纸</w:t>
      </w:r>
      <w:r>
        <w:tab/>
      </w:r>
      <w:r>
        <w:fldChar w:fldCharType="begin"/>
      </w:r>
      <w:r>
        <w:instrText xml:space="preserve"> PAGEREF _Toc211261925 \h </w:instrText>
      </w:r>
      <w:r>
        <w:fldChar w:fldCharType="separate"/>
      </w:r>
      <w:r>
        <w:t>146</w:t>
      </w:r>
      <w:r>
        <w:fldChar w:fldCharType="end"/>
      </w:r>
      <w:r>
        <w:fldChar w:fldCharType="end"/>
      </w:r>
    </w:p>
    <w:p>
      <w:pPr>
        <w:pStyle w:val="28"/>
        <w:tabs>
          <w:tab w:val="right" w:leader="dot" w:pos="10466"/>
          <w:tab w:val="clear" w:pos="9629"/>
        </w:tabs>
        <w:rPr>
          <w:rFonts w:asciiTheme="minorHAnsi" w:hAnsiTheme="minorHAnsi" w:eastAsiaTheme="minorEastAsia" w:cstheme="minorBidi"/>
          <w:b w:val="0"/>
          <w:szCs w:val="22"/>
        </w:rPr>
      </w:pPr>
      <w:r>
        <w:fldChar w:fldCharType="begin"/>
      </w:r>
      <w:r>
        <w:instrText xml:space="preserve"> HYPERLINK \l "_Toc211261926" </w:instrText>
      </w:r>
      <w:r>
        <w:fldChar w:fldCharType="separate"/>
      </w:r>
      <w:r>
        <w:rPr>
          <w:rStyle w:val="45"/>
        </w:rPr>
        <w:t>第三卷</w:t>
      </w:r>
      <w:r>
        <w:tab/>
      </w:r>
      <w:r>
        <w:fldChar w:fldCharType="begin"/>
      </w:r>
      <w:r>
        <w:instrText xml:space="preserve"> PAGEREF _Toc211261926 \h </w:instrText>
      </w:r>
      <w:r>
        <w:fldChar w:fldCharType="separate"/>
      </w:r>
      <w:r>
        <w:t>147</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"_Toc211261927" </w:instrText>
      </w:r>
      <w:r>
        <w:fldChar w:fldCharType="separate"/>
      </w:r>
      <w:r>
        <w:rPr>
          <w:rStyle w:val="45"/>
        </w:rPr>
        <w:t>第七章  技术标准和要求</w:t>
      </w:r>
      <w:r>
        <w:tab/>
      </w:r>
      <w:r>
        <w:fldChar w:fldCharType="begin"/>
      </w:r>
      <w:r>
        <w:instrText xml:space="preserve"> PAGEREF _Toc211261927 \h </w:instrText>
      </w:r>
      <w:r>
        <w:fldChar w:fldCharType="separate"/>
      </w:r>
      <w:r>
        <w:t>148</w:t>
      </w:r>
      <w:r>
        <w:fldChar w:fldCharType="end"/>
      </w:r>
      <w:r>
        <w:fldChar w:fldCharType="end"/>
      </w:r>
    </w:p>
    <w:p>
      <w:pPr>
        <w:pStyle w:val="28"/>
        <w:tabs>
          <w:tab w:val="right" w:leader="dot" w:pos="10466"/>
          <w:tab w:val="clear" w:pos="9629"/>
        </w:tabs>
        <w:rPr>
          <w:rFonts w:asciiTheme="minorHAnsi" w:hAnsiTheme="minorHAnsi" w:eastAsiaTheme="minorEastAsia" w:cstheme="minorBidi"/>
          <w:b w:val="0"/>
          <w:szCs w:val="22"/>
        </w:rPr>
      </w:pPr>
      <w:r>
        <w:fldChar w:fldCharType="begin"/>
      </w:r>
      <w:r>
        <w:instrText xml:space="preserve"> HYPERLINK \l "_Toc211261928" </w:instrText>
      </w:r>
      <w:r>
        <w:fldChar w:fldCharType="separate"/>
      </w:r>
      <w:r>
        <w:rPr>
          <w:rStyle w:val="45"/>
        </w:rPr>
        <w:t>第四卷</w:t>
      </w:r>
      <w:r>
        <w:tab/>
      </w:r>
      <w:r>
        <w:fldChar w:fldCharType="begin"/>
      </w:r>
      <w:r>
        <w:instrText xml:space="preserve"> PAGEREF _Toc211261928 \h </w:instrText>
      </w:r>
      <w:r>
        <w:fldChar w:fldCharType="separate"/>
      </w:r>
      <w:r>
        <w:t>149</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"_Toc211261929" </w:instrText>
      </w:r>
      <w:r>
        <w:fldChar w:fldCharType="separate"/>
      </w:r>
      <w:r>
        <w:rPr>
          <w:rStyle w:val="45"/>
        </w:rPr>
        <w:t>第八章  投标文件格式</w:t>
      </w:r>
      <w:r>
        <w:tab/>
      </w:r>
      <w:r>
        <w:fldChar w:fldCharType="begin"/>
      </w:r>
      <w:r>
        <w:instrText xml:space="preserve"> PAGEREF _Toc211261929 \h </w:instrText>
      </w:r>
      <w:r>
        <w:fldChar w:fldCharType="separate"/>
      </w:r>
      <w:r>
        <w:t>150</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"_Toc211261930" </w:instrText>
      </w:r>
      <w:r>
        <w:fldChar w:fldCharType="separate"/>
      </w:r>
      <w:r>
        <w:rPr>
          <w:rStyle w:val="45"/>
        </w:rPr>
        <w:t>一、投标函及投标函附录</w:t>
      </w:r>
      <w:r>
        <w:tab/>
      </w:r>
      <w:r>
        <w:fldChar w:fldCharType="begin"/>
      </w:r>
      <w:r>
        <w:instrText xml:space="preserve"> PAGEREF _Toc211261930 \h </w:instrText>
      </w:r>
      <w:r>
        <w:fldChar w:fldCharType="separate"/>
      </w:r>
      <w:r>
        <w:t>152</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"_Toc211261931" </w:instrText>
      </w:r>
      <w:r>
        <w:fldChar w:fldCharType="separate"/>
      </w:r>
      <w:r>
        <w:rPr>
          <w:rStyle w:val="45"/>
        </w:rPr>
        <w:t>二、法定代表人身份证明</w:t>
      </w:r>
      <w:r>
        <w:tab/>
      </w:r>
      <w:r>
        <w:fldChar w:fldCharType="begin"/>
      </w:r>
      <w:r>
        <w:instrText xml:space="preserve"> PAGEREF _Toc211261931 \h </w:instrText>
      </w:r>
      <w:r>
        <w:fldChar w:fldCharType="separate"/>
      </w:r>
      <w:r>
        <w:t>156</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"_Toc211261932" </w:instrText>
      </w:r>
      <w:r>
        <w:fldChar w:fldCharType="separate"/>
      </w:r>
      <w:r>
        <w:rPr>
          <w:rStyle w:val="45"/>
        </w:rPr>
        <w:t>三、授权委托书</w:t>
      </w:r>
      <w:r>
        <w:tab/>
      </w:r>
      <w:r>
        <w:fldChar w:fldCharType="begin"/>
      </w:r>
      <w:r>
        <w:instrText xml:space="preserve"> PAGEREF _Toc211261932 \h </w:instrText>
      </w:r>
      <w:r>
        <w:fldChar w:fldCharType="separate"/>
      </w:r>
      <w:r>
        <w:t>157</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"_Toc211261933" </w:instrText>
      </w:r>
      <w:r>
        <w:fldChar w:fldCharType="separate"/>
      </w:r>
      <w:r>
        <w:rPr>
          <w:rStyle w:val="45"/>
        </w:rPr>
        <w:t>四、投标保证金</w:t>
      </w:r>
      <w:r>
        <w:tab/>
      </w:r>
      <w:r>
        <w:fldChar w:fldCharType="begin"/>
      </w:r>
      <w:r>
        <w:instrText xml:space="preserve"> PAGEREF _Toc211261933 \h </w:instrText>
      </w:r>
      <w:r>
        <w:fldChar w:fldCharType="separate"/>
      </w:r>
      <w:r>
        <w:t>158</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"_Toc211261934" </w:instrText>
      </w:r>
      <w:r>
        <w:fldChar w:fldCharType="separate"/>
      </w:r>
      <w:r>
        <w:rPr>
          <w:rStyle w:val="45"/>
        </w:rPr>
        <w:t>五、已标价工程量清单</w:t>
      </w:r>
      <w:r>
        <w:tab/>
      </w:r>
      <w:r>
        <w:fldChar w:fldCharType="begin"/>
      </w:r>
      <w:r>
        <w:instrText xml:space="preserve"> PAGEREF _Toc211261934 \h </w:instrText>
      </w:r>
      <w:r>
        <w:fldChar w:fldCharType="separate"/>
      </w:r>
      <w:r>
        <w:t>159</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"_Toc211261935" </w:instrText>
      </w:r>
      <w:r>
        <w:fldChar w:fldCharType="separate"/>
      </w:r>
      <w:r>
        <w:rPr>
          <w:rStyle w:val="45"/>
        </w:rPr>
        <w:t>六、 施工组织设计</w:t>
      </w:r>
      <w:r>
        <w:tab/>
      </w:r>
      <w:r>
        <w:fldChar w:fldCharType="begin"/>
      </w:r>
      <w:r>
        <w:instrText xml:space="preserve"> PAGEREF _Toc211261935 \h </w:instrText>
      </w:r>
      <w:r>
        <w:fldChar w:fldCharType="separate"/>
      </w:r>
      <w:r>
        <w:t>160</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"_Toc211261936" </w:instrText>
      </w:r>
      <w:r>
        <w:fldChar w:fldCharType="separate"/>
      </w:r>
      <w:r>
        <w:rPr>
          <w:rStyle w:val="45"/>
        </w:rPr>
        <w:t>七、 项目管理机构</w:t>
      </w:r>
      <w:r>
        <w:tab/>
      </w:r>
      <w:r>
        <w:fldChar w:fldCharType="begin"/>
      </w:r>
      <w:r>
        <w:instrText xml:space="preserve"> PAGEREF _Toc211261936 \h </w:instrText>
      </w:r>
      <w:r>
        <w:fldChar w:fldCharType="separate"/>
      </w:r>
      <w:r>
        <w:t>161</w:t>
      </w:r>
      <w:r>
        <w:fldChar w:fldCharType="end"/>
      </w:r>
      <w:r>
        <w:fldChar w:fldCharType="end"/>
      </w:r>
    </w:p>
    <w:p>
      <w:pPr>
        <w:pStyle w:val="22"/>
        <w:tabs>
          <w:tab w:val="right" w:leader="dot" w:pos="10456"/>
        </w:tabs>
        <w:rPr>
          <w:rFonts w:asciiTheme="minorHAnsi" w:hAnsiTheme="minorHAnsi" w:eastAsiaTheme="minorEastAsia" w:cstheme="minorBidi"/>
          <w:szCs w:val="22"/>
        </w:rPr>
      </w:pPr>
      <w:r>
        <w:fldChar w:fldCharType="begin"/>
      </w:r>
      <w:r>
        <w:instrText xml:space="preserve"> HYPERLINK \l "_Toc211261937" </w:instrText>
      </w:r>
      <w:r>
        <w:fldChar w:fldCharType="separate"/>
      </w:r>
      <w:r>
        <w:rPr>
          <w:rStyle w:val="45"/>
        </w:rPr>
        <w:t>八、 其他材料</w:t>
      </w:r>
      <w:r>
        <w:tab/>
      </w:r>
      <w:r>
        <w:fldChar w:fldCharType="begin"/>
      </w:r>
      <w:r>
        <w:instrText xml:space="preserve"> PAGEREF _Toc211261937 \h </w:instrText>
      </w:r>
      <w:r>
        <w:fldChar w:fldCharType="separate"/>
      </w:r>
      <w:r>
        <w:t>164</w:t>
      </w:r>
      <w:r>
        <w:fldChar w:fldCharType="end"/>
      </w:r>
      <w:r>
        <w:fldChar w:fldCharType="end"/>
      </w:r>
    </w:p>
    <w:p>
      <w:pPr>
        <w:pStyle w:val="4"/>
        <w:tabs>
          <w:tab w:val="right" w:leader="dot" w:pos="10466"/>
          <w:tab w:val="clear" w:pos="9629"/>
        </w:tabs>
        <w:ind w:left="420"/>
        <w:rPr>
          <w:rFonts w:asciiTheme="minorHAnsi" w:hAnsiTheme="minorHAnsi" w:eastAsiaTheme="minorEastAsia" w:cstheme="minorBidi"/>
          <w:b w:val="0"/>
          <w:szCs w:val="22"/>
        </w:rPr>
      </w:pPr>
      <w:r>
        <w:fldChar w:fldCharType="begin"/>
      </w:r>
      <w:r>
        <w:instrText xml:space="preserve"> HYPERLINK \l "_Toc211261938" </w:instrText>
      </w:r>
      <w:r>
        <w:fldChar w:fldCharType="separate"/>
      </w:r>
      <w:r>
        <w:rPr>
          <w:rStyle w:val="45"/>
        </w:rPr>
        <w:t>第九章  资格审查文件</w:t>
      </w:r>
      <w:r>
        <w:tab/>
      </w:r>
      <w:r>
        <w:fldChar w:fldCharType="begin"/>
      </w:r>
      <w:r>
        <w:instrText xml:space="preserve"> PAGEREF _Toc211261938 \h </w:instrText>
      </w:r>
      <w:r>
        <w:fldChar w:fldCharType="separate"/>
      </w:r>
      <w:r>
        <w:t>165</w:t>
      </w:r>
      <w:r>
        <w:fldChar w:fldCharType="end"/>
      </w:r>
      <w:r>
        <w:fldChar w:fldCharType="end"/>
      </w:r>
    </w:p>
    <w:p>
      <w:pPr>
        <w:spacing w:line="360" w:lineRule="auto"/>
        <w:rPr>
          <w:rFonts w:asciiTheme="minorEastAsia" w:hAnsiTheme="minorEastAsia" w:eastAsiaTheme="minorEastAsia"/>
          <w:szCs w:val="21"/>
        </w:rPr>
      </w:pPr>
      <w:r>
        <w:rPr>
          <w:rFonts w:asciiTheme="minorEastAsia" w:hAnsiTheme="minorEastAsia" w:eastAsiaTheme="minorEastAsia"/>
          <w:szCs w:val="21"/>
        </w:rPr>
        <w:fldChar w:fldCharType="end"/>
      </w:r>
    </w:p>
    <w:p>
      <w:pPr>
        <w:pStyle w:val="4"/>
        <w:ind w:left="420"/>
      </w:pPr>
    </w:p>
    <w:p>
      <w:pPr>
        <w:pStyle w:val="5"/>
        <w:jc w:val="center"/>
        <w:rPr>
          <w:sz w:val="48"/>
          <w:szCs w:val="48"/>
        </w:rPr>
        <w:sectPr>
          <w:footerReference r:id="rId5" w:type="first"/>
          <w:headerReference r:id="rId3" w:type="default"/>
          <w:footerReference r:id="rId4" w:type="default"/>
          <w:type w:val="continuous"/>
          <w:pgSz w:w="11906" w:h="16838"/>
          <w:pgMar w:top="720" w:right="720" w:bottom="720" w:left="720" w:header="227" w:footer="227" w:gutter="0"/>
          <w:pgNumType w:start="1"/>
          <w:cols w:space="720" w:num="1"/>
          <w:docGrid w:type="lines" w:linePitch="381" w:charSpace="0"/>
        </w:sectPr>
      </w:pPr>
      <w:bookmarkStart w:id="1" w:name="_Toc1616"/>
      <w:bookmarkStart w:id="2" w:name="_Toc17817319"/>
    </w:p>
    <w:p>
      <w:pPr>
        <w:pStyle w:val="5"/>
        <w:jc w:val="center"/>
        <w:rPr>
          <w:sz w:val="48"/>
          <w:szCs w:val="48"/>
        </w:rPr>
        <w:sectPr>
          <w:footerReference r:id="rId6" w:type="default"/>
          <w:pgSz w:w="11906" w:h="16838"/>
          <w:pgMar w:top="720" w:right="720" w:bottom="720" w:left="720" w:header="227" w:footer="227" w:gutter="0"/>
          <w:pgNumType w:start="1"/>
          <w:cols w:space="720" w:num="1"/>
          <w:vAlign w:val="center"/>
          <w:docGrid w:type="lines" w:linePitch="381" w:charSpace="0"/>
        </w:sectPr>
      </w:pPr>
      <w:bookmarkStart w:id="3" w:name="_Toc211261897"/>
      <w:r>
        <w:rPr>
          <w:sz w:val="48"/>
          <w:szCs w:val="48"/>
        </w:rPr>
        <w:t>第一卷</w:t>
      </w:r>
      <w:bookmarkEnd w:id="1"/>
      <w:bookmarkEnd w:id="2"/>
      <w:bookmarkEnd w:id="3"/>
      <w:bookmarkStart w:id="4" w:name="_Toc16518"/>
      <w:bookmarkStart w:id="5" w:name="_Toc23462"/>
      <w:bookmarkStart w:id="6" w:name="_Toc9654"/>
      <w:bookmarkStart w:id="7" w:name="_Toc17817321"/>
    </w:p>
    <w:p>
      <w:pPr>
        <w:pStyle w:val="6"/>
        <w:jc w:val="center"/>
      </w:pPr>
      <w:bookmarkStart w:id="8" w:name="_Toc211261898"/>
      <w:r>
        <w:rPr>
          <w:rFonts w:hint="eastAsia"/>
          <w:i w:val="0"/>
          <w:sz w:val="32"/>
          <w:szCs w:val="32"/>
        </w:rPr>
        <w:t>第一章   招标公告</w:t>
      </w:r>
      <w:bookmarkEnd w:id="4"/>
      <w:bookmarkEnd w:id="5"/>
      <w:bookmarkEnd w:id="8"/>
    </w:p>
    <w:p>
      <w:pPr>
        <w:widowControl/>
        <w:spacing w:line="560" w:lineRule="exact"/>
        <w:jc w:val="left"/>
        <w:rPr>
          <w:rFonts w:ascii="宋体" w:hAnsi="宋体" w:cs="宋体"/>
          <w:b/>
          <w:kern w:val="0"/>
          <w:sz w:val="24"/>
          <w:lang w:bidi="en-US"/>
        </w:rPr>
      </w:pPr>
      <w:r>
        <w:rPr>
          <w:rFonts w:hint="eastAsia" w:ascii="宋体" w:hAnsi="宋体" w:cs="宋体"/>
          <w:b/>
          <w:kern w:val="0"/>
          <w:sz w:val="24"/>
          <w:lang w:bidi="en-US"/>
        </w:rPr>
        <w:t>1.招标条件</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u w:val="single"/>
          <w:lang w:bidi="en-US"/>
        </w:rPr>
        <w:t>中国重汽集团济南动力有限公司</w:t>
      </w:r>
      <w:r>
        <w:rPr>
          <w:rFonts w:hint="eastAsia" w:ascii="宋体" w:hAnsi="宋体" w:cs="宋体"/>
          <w:kern w:val="0"/>
          <w:sz w:val="24"/>
          <w:lang w:bidi="en-US"/>
        </w:rPr>
        <w:t>针对</w:t>
      </w:r>
      <w:r>
        <w:rPr>
          <w:rFonts w:hint="eastAsia" w:ascii="宋体" w:hAnsi="宋体" w:cs="宋体"/>
          <w:kern w:val="0"/>
          <w:sz w:val="24"/>
          <w:u w:val="single"/>
          <w:lang w:bidi="en-US"/>
        </w:rPr>
        <w:t>济南橡塑件公司新能源高压线束车间改造技改项目工程施工</w:t>
      </w:r>
      <w:r>
        <w:rPr>
          <w:rFonts w:hint="eastAsia" w:ascii="宋体" w:hAnsi="宋体" w:cs="宋体"/>
          <w:kern w:val="0"/>
          <w:sz w:val="24"/>
          <w:lang w:bidi="en-US"/>
        </w:rPr>
        <w:t>项目，以公开招标的方式组织招标。本项目业主为</w:t>
      </w:r>
      <w:r>
        <w:rPr>
          <w:rFonts w:hint="eastAsia" w:ascii="宋体" w:hAnsi="宋体" w:cs="宋体"/>
          <w:kern w:val="0"/>
          <w:sz w:val="24"/>
          <w:u w:val="single"/>
          <w:lang w:bidi="en-US"/>
        </w:rPr>
        <w:t>中国重汽集团济南动力有限公司</w:t>
      </w:r>
      <w:r>
        <w:rPr>
          <w:rFonts w:hint="eastAsia" w:ascii="宋体" w:hAnsi="宋体" w:cs="宋体"/>
          <w:kern w:val="0"/>
          <w:sz w:val="24"/>
          <w:lang w:bidi="en-US"/>
        </w:rPr>
        <w:t>，建设资金来自</w:t>
      </w:r>
      <w:r>
        <w:rPr>
          <w:rFonts w:hint="eastAsia" w:ascii="宋体" w:hAnsi="宋体" w:cs="宋体"/>
          <w:kern w:val="0"/>
          <w:sz w:val="24"/>
          <w:u w:val="single"/>
          <w:lang w:bidi="en-US"/>
        </w:rPr>
        <w:t xml:space="preserve"> 企业自筹 </w:t>
      </w:r>
      <w:r>
        <w:rPr>
          <w:rFonts w:hint="eastAsia" w:ascii="宋体" w:hAnsi="宋体" w:cs="宋体"/>
          <w:kern w:val="0"/>
          <w:sz w:val="24"/>
          <w:lang w:bidi="en-US"/>
        </w:rPr>
        <w:t>，出资比例为</w:t>
      </w:r>
      <w:r>
        <w:rPr>
          <w:rFonts w:hint="eastAsia" w:ascii="宋体" w:hAnsi="宋体" w:cs="宋体"/>
          <w:kern w:val="0"/>
          <w:sz w:val="24"/>
          <w:u w:val="single"/>
          <w:lang w:bidi="en-US"/>
        </w:rPr>
        <w:t xml:space="preserve"> 100% </w:t>
      </w:r>
      <w:r>
        <w:rPr>
          <w:rFonts w:hint="eastAsia" w:ascii="宋体" w:hAnsi="宋体" w:cs="宋体"/>
          <w:kern w:val="0"/>
          <w:sz w:val="24"/>
          <w:lang w:bidi="en-US"/>
        </w:rPr>
        <w:t>。该项目现已具备招标条件，欢迎具备条件的潜在投标人参加投标。</w:t>
      </w:r>
    </w:p>
    <w:p>
      <w:pPr>
        <w:widowControl/>
        <w:spacing w:line="500" w:lineRule="exact"/>
        <w:jc w:val="left"/>
        <w:rPr>
          <w:rFonts w:ascii="宋体" w:hAnsi="宋体" w:cs="宋体"/>
          <w:kern w:val="0"/>
          <w:sz w:val="24"/>
          <w:lang w:bidi="en-US"/>
        </w:rPr>
      </w:pPr>
      <w:r>
        <w:rPr>
          <w:rFonts w:hint="eastAsia" w:ascii="宋体" w:hAnsi="宋体" w:cs="宋体"/>
          <w:b/>
          <w:bCs/>
          <w:kern w:val="0"/>
          <w:sz w:val="24"/>
          <w:lang w:bidi="en-US"/>
        </w:rPr>
        <w:t>2.项目概况与招标范围</w:t>
      </w:r>
    </w:p>
    <w:p>
      <w:pPr>
        <w:widowControl/>
        <w:spacing w:line="360" w:lineRule="auto"/>
        <w:ind w:firstLine="480" w:firstLineChars="200"/>
        <w:jc w:val="left"/>
        <w:rPr>
          <w:rFonts w:ascii="宋体" w:hAnsi="宋体" w:cs="宋体"/>
          <w:kern w:val="0"/>
          <w:sz w:val="24"/>
          <w:lang w:bidi="en-US"/>
        </w:rPr>
      </w:pPr>
      <w:bookmarkStart w:id="9" w:name="_Toc285809451"/>
      <w:bookmarkEnd w:id="9"/>
      <w:bookmarkStart w:id="10" w:name="_Toc152045514"/>
      <w:bookmarkEnd w:id="10"/>
      <w:bookmarkStart w:id="11" w:name="_Toc152042290"/>
      <w:bookmarkEnd w:id="11"/>
      <w:bookmarkStart w:id="12" w:name="_Toc144974482"/>
      <w:bookmarkEnd w:id="12"/>
      <w:bookmarkStart w:id="13" w:name="_Toc179632530"/>
      <w:bookmarkEnd w:id="13"/>
      <w:r>
        <w:rPr>
          <w:rFonts w:hint="eastAsia" w:ascii="宋体" w:hAnsi="宋体" w:cs="宋体"/>
          <w:kern w:val="0"/>
          <w:sz w:val="24"/>
          <w:lang w:bidi="en-US"/>
        </w:rPr>
        <w:t>2.1工程名称：</w:t>
      </w:r>
      <w:r>
        <w:rPr>
          <w:rFonts w:hint="eastAsia" w:ascii="宋体" w:hAnsi="宋体" w:cs="宋体"/>
          <w:kern w:val="0"/>
          <w:sz w:val="24"/>
          <w:u w:val="single"/>
          <w:lang w:bidi="en-US"/>
        </w:rPr>
        <w:t>济南橡塑件公司新能源高压线束车间改造技改项目工程施工</w:t>
      </w:r>
      <w:r>
        <w:rPr>
          <w:rFonts w:hint="eastAsia" w:ascii="宋体" w:hAnsi="宋体" w:cs="宋体"/>
          <w:kern w:val="0"/>
          <w:sz w:val="24"/>
          <w:lang w:bidi="en-US"/>
        </w:rPr>
        <w:t>；</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2.2工程地点：</w:t>
      </w:r>
      <w:r>
        <w:rPr>
          <w:rFonts w:hint="eastAsia" w:ascii="宋体" w:hAnsi="宋体" w:cs="宋体"/>
          <w:kern w:val="0"/>
          <w:sz w:val="24"/>
          <w:u w:val="single"/>
          <w:lang w:bidi="en-US"/>
        </w:rPr>
        <w:t>山东省济南市市中区党家庄镇南首东北方向70米，中国重汽集团济南卡车股份有限公司园区内</w:t>
      </w:r>
      <w:r>
        <w:rPr>
          <w:rFonts w:hint="eastAsia" w:ascii="宋体" w:hAnsi="宋体" w:cs="宋体"/>
          <w:kern w:val="0"/>
          <w:sz w:val="24"/>
          <w:lang w:bidi="en-US"/>
        </w:rPr>
        <w:t>；</w:t>
      </w:r>
    </w:p>
    <w:p>
      <w:pPr>
        <w:spacing w:line="360" w:lineRule="auto"/>
        <w:ind w:firstLine="480" w:firstLineChars="200"/>
        <w:rPr>
          <w:rFonts w:ascii="宋体" w:hAnsi="宋体"/>
          <w:sz w:val="24"/>
        </w:rPr>
      </w:pPr>
      <w:r>
        <w:rPr>
          <w:rFonts w:hint="eastAsia" w:ascii="宋体" w:hAnsi="宋体" w:cs="宋体"/>
          <w:kern w:val="0"/>
          <w:sz w:val="24"/>
          <w:lang w:bidi="en-US"/>
        </w:rPr>
        <w:t>2.3工程概况：</w:t>
      </w:r>
      <w:bookmarkStart w:id="14" w:name="_Hlk211261670"/>
      <w:r>
        <w:rPr>
          <w:rFonts w:hint="eastAsia" w:ascii="宋体" w:hAnsi="宋体" w:cs="宋体"/>
          <w:kern w:val="0"/>
          <w:sz w:val="24"/>
          <w:u w:val="single"/>
          <w:lang w:bidi="en-US"/>
        </w:rPr>
        <w:t>对新能源线束车间生产区域封围实施防尘改造，占地约2300㎡，主要建设内容包括新建夹芯板墙将现使用区域与原车间分隔、增设单层彩钢板吊顶、改造电气系统、增加空调系统等</w:t>
      </w:r>
      <w:bookmarkEnd w:id="14"/>
      <w:r>
        <w:rPr>
          <w:rFonts w:hint="eastAsia" w:ascii="宋体" w:hAnsi="宋体" w:cs="宋体"/>
          <w:kern w:val="0"/>
          <w:sz w:val="24"/>
          <w:u w:val="single"/>
          <w:lang w:bidi="en-US"/>
        </w:rPr>
        <w:t>；</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2.4资金来源：</w:t>
      </w:r>
      <w:r>
        <w:rPr>
          <w:rFonts w:hint="eastAsia" w:ascii="宋体" w:hAnsi="宋体" w:cs="宋体"/>
          <w:kern w:val="0"/>
          <w:sz w:val="24"/>
          <w:u w:val="single"/>
          <w:lang w:bidi="en-US"/>
        </w:rPr>
        <w:t>企业自筹，已落实</w:t>
      </w:r>
      <w:r>
        <w:rPr>
          <w:rFonts w:hint="eastAsia" w:ascii="宋体" w:hAnsi="宋体" w:cs="宋体"/>
          <w:kern w:val="0"/>
          <w:sz w:val="24"/>
          <w:lang w:bidi="en-US"/>
        </w:rPr>
        <w:t>；</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2.5工期要求：</w:t>
      </w:r>
      <w:r>
        <w:rPr>
          <w:rFonts w:hint="eastAsia" w:ascii="宋体" w:hAnsi="宋体" w:cs="宋体"/>
          <w:kern w:val="0"/>
          <w:sz w:val="24"/>
          <w:u w:val="single"/>
          <w:lang w:bidi="en-US"/>
        </w:rPr>
        <w:t>计划工期</w:t>
      </w:r>
      <w:r>
        <w:rPr>
          <w:rFonts w:ascii="宋体" w:hAnsi="宋体" w:cs="宋体"/>
          <w:kern w:val="0"/>
          <w:sz w:val="24"/>
          <w:u w:val="single"/>
          <w:lang w:bidi="en-US"/>
        </w:rPr>
        <w:t>40</w:t>
      </w:r>
      <w:r>
        <w:rPr>
          <w:rFonts w:hint="eastAsia" w:ascii="宋体" w:hAnsi="宋体" w:cs="宋体"/>
          <w:kern w:val="0"/>
          <w:sz w:val="24"/>
          <w:u w:val="single"/>
          <w:lang w:bidi="en-US"/>
        </w:rPr>
        <w:t xml:space="preserve">日历日，最终以招标文件为准 </w:t>
      </w:r>
      <w:r>
        <w:rPr>
          <w:rFonts w:hint="eastAsia" w:ascii="宋体" w:hAnsi="宋体" w:cs="宋体"/>
          <w:kern w:val="0"/>
          <w:sz w:val="24"/>
          <w:lang w:bidi="en-US"/>
        </w:rPr>
        <w:t>；</w:t>
      </w:r>
    </w:p>
    <w:p>
      <w:pPr>
        <w:widowControl/>
        <w:spacing w:line="360" w:lineRule="auto"/>
        <w:ind w:firstLine="480" w:firstLineChars="200"/>
        <w:jc w:val="left"/>
        <w:rPr>
          <w:rFonts w:ascii="宋体" w:hAnsi="宋体"/>
          <w:sz w:val="24"/>
          <w:u w:val="single"/>
        </w:rPr>
      </w:pPr>
      <w:r>
        <w:rPr>
          <w:rFonts w:hint="eastAsia" w:ascii="宋体" w:hAnsi="宋体" w:cs="宋体"/>
          <w:kern w:val="0"/>
          <w:sz w:val="24"/>
          <w:lang w:bidi="en-US"/>
        </w:rPr>
        <w:t>2.6招标范围：</w:t>
      </w:r>
      <w:r>
        <w:rPr>
          <w:rFonts w:hint="eastAsia" w:ascii="宋体" w:hAnsi="宋体"/>
          <w:sz w:val="24"/>
          <w:u w:val="single"/>
        </w:rPr>
        <w:t>本次招标范围包括但不限于施工图纸范围内的全部工作内容的施工、验收及质量保修，以及招标人新增清单外施工内容等，详见招标文件、图纸及工程量清单；</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2.7本工程共分：</w:t>
      </w:r>
      <w:r>
        <w:rPr>
          <w:rFonts w:hint="eastAsia" w:ascii="宋体" w:hAnsi="宋体" w:cs="宋体"/>
          <w:kern w:val="0"/>
          <w:sz w:val="24"/>
          <w:u w:val="single"/>
          <w:lang w:bidi="en-US"/>
        </w:rPr>
        <w:t>1个标段</w:t>
      </w:r>
      <w:r>
        <w:rPr>
          <w:rFonts w:hint="eastAsia" w:ascii="宋体" w:hAnsi="宋体" w:cs="宋体"/>
          <w:kern w:val="0"/>
          <w:sz w:val="24"/>
          <w:lang w:bidi="en-US"/>
        </w:rPr>
        <w:t>。</w:t>
      </w:r>
    </w:p>
    <w:p>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3．投标人资格要求</w:t>
      </w:r>
    </w:p>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3.1 本次招标要求投标人具备：</w:t>
      </w:r>
    </w:p>
    <w:p>
      <w:pPr>
        <w:widowControl/>
        <w:spacing w:line="360" w:lineRule="auto"/>
        <w:ind w:left="2" w:firstLine="480" w:firstLineChars="200"/>
        <w:jc w:val="left"/>
        <w:rPr>
          <w:rFonts w:ascii="宋体" w:hAnsi="宋体"/>
          <w:kern w:val="0"/>
          <w:sz w:val="24"/>
          <w:szCs w:val="21"/>
          <w:lang w:bidi="en-US"/>
        </w:rPr>
      </w:pPr>
      <w:bookmarkStart w:id="15" w:name="_Hlk211261762"/>
      <w:r>
        <w:rPr>
          <w:rFonts w:hint="eastAsia" w:ascii="宋体" w:hAnsi="宋体"/>
          <w:kern w:val="0"/>
          <w:sz w:val="24"/>
          <w:szCs w:val="21"/>
          <w:lang w:bidi="en-US"/>
        </w:rPr>
        <w:t>（1）投标人</w:t>
      </w:r>
      <w:r>
        <w:rPr>
          <w:rFonts w:hint="eastAsia"/>
          <w:kern w:val="0"/>
          <w:sz w:val="24"/>
          <w:szCs w:val="21"/>
          <w:lang w:bidi="en-US"/>
        </w:rPr>
        <w:t>必须是在中华人民共和国境内注册的独立法人机构，具有独立承担民事责任能力，注册资金不少于</w:t>
      </w:r>
      <w:r>
        <w:rPr>
          <w:kern w:val="0"/>
          <w:sz w:val="24"/>
          <w:szCs w:val="21"/>
          <w:u w:val="single"/>
          <w:lang w:bidi="en-US"/>
        </w:rPr>
        <w:t>500</w:t>
      </w:r>
      <w:r>
        <w:rPr>
          <w:rFonts w:hint="eastAsia"/>
          <w:kern w:val="0"/>
          <w:sz w:val="24"/>
          <w:szCs w:val="21"/>
          <w:lang w:bidi="en-US"/>
        </w:rPr>
        <w:t>万人民币；公司成立三年以上（以营业执照成立日期到开标当日满三年为准）；</w:t>
      </w:r>
      <w:r>
        <w:rPr>
          <w:rFonts w:hint="eastAsia" w:ascii="宋体" w:hAnsi="宋体"/>
          <w:kern w:val="0"/>
          <w:sz w:val="24"/>
          <w:szCs w:val="21"/>
          <w:lang w:bidi="en-US"/>
        </w:rPr>
        <w:t>并在人员、设备、资金等方面具有承担本项目的能力；</w:t>
      </w:r>
    </w:p>
    <w:p>
      <w:pPr>
        <w:spacing w:line="360" w:lineRule="auto"/>
        <w:ind w:left="2" w:firstLine="480" w:firstLineChars="200"/>
        <w:rPr>
          <w:rFonts w:ascii="宋体" w:hAnsi="宋体"/>
          <w:szCs w:val="21"/>
        </w:rPr>
      </w:pPr>
      <w:r>
        <w:rPr>
          <w:rFonts w:hint="eastAsia" w:ascii="宋体" w:hAnsi="宋体"/>
          <w:kern w:val="0"/>
          <w:sz w:val="24"/>
          <w:szCs w:val="21"/>
          <w:lang w:bidi="en-US"/>
        </w:rPr>
        <w:t>（2）投标人资质要求：</w:t>
      </w:r>
      <w:r>
        <w:rPr>
          <w:rFonts w:hint="eastAsia" w:ascii="宋体" w:hAnsi="宋体" w:cs="宋体"/>
          <w:kern w:val="0"/>
          <w:sz w:val="24"/>
        </w:rPr>
        <w:t>具有</w:t>
      </w:r>
      <w:r>
        <w:rPr>
          <w:rFonts w:hint="eastAsia" w:ascii="宋体" w:hAnsi="宋体" w:cs="宋体"/>
          <w:kern w:val="0"/>
          <w:sz w:val="24"/>
          <w:u w:val="single"/>
        </w:rPr>
        <w:t>建筑工程施工总承包叁级及以上</w:t>
      </w:r>
      <w:r>
        <w:rPr>
          <w:rFonts w:hint="eastAsia" w:ascii="宋体" w:hAnsi="宋体" w:cs="宋体"/>
          <w:kern w:val="0"/>
          <w:sz w:val="24"/>
        </w:rPr>
        <w:t>资质</w:t>
      </w:r>
      <w:r>
        <w:rPr>
          <w:rFonts w:hint="eastAsia" w:ascii="宋体" w:hAnsi="宋体"/>
          <w:kern w:val="0"/>
          <w:sz w:val="24"/>
          <w:szCs w:val="21"/>
          <w:lang w:bidi="en-US"/>
        </w:rPr>
        <w:t>，并具有有效的安全生产许可证；</w:t>
      </w:r>
    </w:p>
    <w:p>
      <w:pPr>
        <w:widowControl/>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（3）投标人拟派项目负责人要求：须具备</w:t>
      </w:r>
      <w:r>
        <w:rPr>
          <w:rFonts w:hint="eastAsia" w:ascii="宋体" w:hAnsi="宋体"/>
          <w:kern w:val="0"/>
          <w:sz w:val="24"/>
          <w:szCs w:val="21"/>
          <w:u w:val="single"/>
          <w:lang w:bidi="en-US"/>
        </w:rPr>
        <w:t>建筑工程专业</w:t>
      </w:r>
      <w:r>
        <w:rPr>
          <w:rFonts w:hint="eastAsia" w:ascii="宋体" w:hAnsi="宋体" w:cs="宋体"/>
          <w:kern w:val="0"/>
          <w:sz w:val="24"/>
          <w:u w:val="single"/>
        </w:rPr>
        <w:t>贰级及以上</w:t>
      </w:r>
      <w:r>
        <w:rPr>
          <w:rFonts w:hint="eastAsia" w:ascii="宋体" w:hAnsi="宋体"/>
          <w:kern w:val="0"/>
          <w:sz w:val="24"/>
          <w:szCs w:val="21"/>
          <w:u w:val="single"/>
          <w:lang w:bidi="en-US"/>
        </w:rPr>
        <w:t>注册建造师证书</w:t>
      </w:r>
      <w:r>
        <w:rPr>
          <w:rFonts w:hint="eastAsia" w:ascii="宋体" w:hAnsi="宋体"/>
          <w:kern w:val="0"/>
          <w:sz w:val="24"/>
          <w:szCs w:val="21"/>
          <w:lang w:bidi="en-US"/>
        </w:rPr>
        <w:t>，具有有效的安全考核合格B证且不得担任其他在施建设工程项目的项目经理；</w:t>
      </w:r>
    </w:p>
    <w:p>
      <w:pPr>
        <w:widowControl/>
        <w:spacing w:line="360" w:lineRule="auto"/>
        <w:ind w:firstLine="480" w:firstLineChars="200"/>
        <w:jc w:val="left"/>
        <w:rPr>
          <w:rFonts w:ascii="宋体" w:hAnsi="宋体"/>
          <w:kern w:val="0"/>
          <w:sz w:val="24"/>
          <w:szCs w:val="21"/>
          <w:lang w:bidi="en-US"/>
        </w:rPr>
      </w:pPr>
      <w:r>
        <w:rPr>
          <w:rFonts w:hint="eastAsia" w:ascii="宋体" w:hAnsi="宋体"/>
          <w:kern w:val="0"/>
          <w:sz w:val="24"/>
          <w:szCs w:val="21"/>
          <w:lang w:bidi="en-US"/>
        </w:rPr>
        <w:t>（4）财务要求：近三年财务状况良好（近三年指</w:t>
      </w:r>
      <w:r>
        <w:rPr>
          <w:rFonts w:hint="eastAsia" w:ascii="宋体" w:hAnsi="宋体"/>
          <w:kern w:val="0"/>
          <w:sz w:val="24"/>
          <w:szCs w:val="21"/>
          <w:u w:val="single"/>
          <w:lang w:bidi="en-US"/>
        </w:rPr>
        <w:t>202</w:t>
      </w:r>
      <w:r>
        <w:rPr>
          <w:rFonts w:ascii="宋体" w:hAnsi="宋体"/>
          <w:kern w:val="0"/>
          <w:sz w:val="24"/>
          <w:szCs w:val="21"/>
          <w:u w:val="single"/>
          <w:lang w:bidi="en-US"/>
        </w:rPr>
        <w:t>2</w:t>
      </w:r>
      <w:r>
        <w:rPr>
          <w:rFonts w:hint="eastAsia" w:ascii="宋体" w:hAnsi="宋体"/>
          <w:kern w:val="0"/>
          <w:sz w:val="24"/>
          <w:szCs w:val="21"/>
          <w:u w:val="single"/>
          <w:lang w:bidi="en-US"/>
        </w:rPr>
        <w:t>、202</w:t>
      </w:r>
      <w:r>
        <w:rPr>
          <w:rFonts w:ascii="宋体" w:hAnsi="宋体"/>
          <w:kern w:val="0"/>
          <w:sz w:val="24"/>
          <w:szCs w:val="21"/>
          <w:u w:val="single"/>
          <w:lang w:bidi="en-US"/>
        </w:rPr>
        <w:t>3</w:t>
      </w:r>
      <w:r>
        <w:rPr>
          <w:rFonts w:hint="eastAsia" w:ascii="宋体" w:hAnsi="宋体"/>
          <w:kern w:val="0"/>
          <w:sz w:val="24"/>
          <w:szCs w:val="21"/>
          <w:u w:val="single"/>
          <w:lang w:bidi="en-US"/>
        </w:rPr>
        <w:t>、202</w:t>
      </w:r>
      <w:r>
        <w:rPr>
          <w:rFonts w:ascii="宋体" w:hAnsi="宋体"/>
          <w:kern w:val="0"/>
          <w:sz w:val="24"/>
          <w:szCs w:val="21"/>
          <w:u w:val="single"/>
          <w:lang w:bidi="en-US"/>
        </w:rPr>
        <w:t>4</w:t>
      </w:r>
      <w:r>
        <w:rPr>
          <w:rFonts w:hint="eastAsia" w:ascii="宋体" w:hAnsi="宋体"/>
          <w:kern w:val="0"/>
          <w:sz w:val="24"/>
          <w:szCs w:val="21"/>
          <w:lang w:bidi="en-US"/>
        </w:rPr>
        <w:t>年），</w:t>
      </w:r>
      <w:bookmarkStart w:id="16" w:name="_Hlk161823319"/>
      <w:r>
        <w:rPr>
          <w:rFonts w:hint="eastAsia" w:ascii="宋体" w:hAnsi="宋体"/>
          <w:kern w:val="0"/>
          <w:sz w:val="24"/>
          <w:szCs w:val="21"/>
          <w:lang w:bidi="en-US"/>
        </w:rPr>
        <w:t>要求包含企业最近半年完税证明、信用证明材料（中国人民银行征信报告）、年度纳税信用评价信息、企业对外担保说明；</w:t>
      </w:r>
      <w:bookmarkEnd w:id="16"/>
    </w:p>
    <w:p>
      <w:pPr>
        <w:widowControl/>
        <w:spacing w:line="360" w:lineRule="auto"/>
        <w:ind w:left="2" w:firstLine="480" w:firstLineChars="200"/>
        <w:jc w:val="left"/>
        <w:rPr>
          <w:rFonts w:ascii="宋体" w:cs="宋体"/>
          <w:sz w:val="24"/>
          <w:lang w:bidi="ar"/>
        </w:rPr>
      </w:pPr>
      <w:r>
        <w:rPr>
          <w:rFonts w:hint="eastAsia" w:ascii="宋体" w:hAnsi="宋体"/>
          <w:kern w:val="0"/>
          <w:sz w:val="24"/>
          <w:szCs w:val="21"/>
          <w:lang w:bidi="en-US"/>
        </w:rPr>
        <w:t>（5）信誉要求：</w:t>
      </w:r>
      <w:r>
        <w:rPr>
          <w:rFonts w:hint="eastAsia" w:ascii="宋体" w:cs="宋体"/>
          <w:sz w:val="24"/>
          <w:lang w:bidi="ar"/>
        </w:rPr>
        <w:t>近三年</w:t>
      </w:r>
      <w:r>
        <w:rPr>
          <w:rFonts w:hint="eastAsia" w:ascii="宋体" w:hAnsi="宋体"/>
          <w:kern w:val="0"/>
          <w:sz w:val="24"/>
          <w:szCs w:val="21"/>
          <w:lang w:bidi="en-US"/>
        </w:rPr>
        <w:t>（2022年</w:t>
      </w:r>
      <w:r>
        <w:rPr>
          <w:rFonts w:ascii="宋体" w:hAnsi="宋体"/>
          <w:kern w:val="0"/>
          <w:sz w:val="24"/>
          <w:szCs w:val="21"/>
          <w:lang w:bidi="en-US"/>
        </w:rPr>
        <w:t>10</w:t>
      </w:r>
      <w:r>
        <w:rPr>
          <w:rFonts w:hint="eastAsia" w:ascii="宋体" w:hAnsi="宋体"/>
          <w:kern w:val="0"/>
          <w:sz w:val="24"/>
          <w:szCs w:val="21"/>
          <w:lang w:bidi="en-US"/>
        </w:rPr>
        <w:t>月1日至今）</w:t>
      </w:r>
      <w:r>
        <w:rPr>
          <w:rFonts w:hint="eastAsia" w:ascii="宋体" w:cs="宋体"/>
          <w:sz w:val="24"/>
          <w:lang w:bidi="ar"/>
        </w:rPr>
        <w:t>公司信誉良好，无与本项目有关的行政处罚及失信记录等信息，无与本项目有关的违法违规等不良行为，无招标违规、谎报年度报告信息、提供虚假资质资料等行为或其他行政处罚记录；</w:t>
      </w:r>
    </w:p>
    <w:p>
      <w:pPr>
        <w:widowControl/>
        <w:spacing w:line="360" w:lineRule="auto"/>
        <w:ind w:left="2" w:firstLine="480" w:firstLineChars="200"/>
        <w:jc w:val="left"/>
        <w:rPr>
          <w:rFonts w:ascii="宋体" w:cs="宋体"/>
          <w:sz w:val="24"/>
          <w:lang w:bidi="ar"/>
        </w:rPr>
      </w:pPr>
      <w:bookmarkStart w:id="17" w:name="_Hlk161823373"/>
      <w:r>
        <w:rPr>
          <w:rFonts w:hint="eastAsia" w:ascii="宋体" w:cs="宋体"/>
          <w:sz w:val="24"/>
          <w:lang w:bidi="ar"/>
        </w:rPr>
        <w:t>（6）业绩要求：近三年</w:t>
      </w:r>
      <w:r>
        <w:rPr>
          <w:rFonts w:hint="eastAsia" w:ascii="宋体" w:hAnsi="宋体"/>
          <w:kern w:val="0"/>
          <w:sz w:val="24"/>
          <w:szCs w:val="21"/>
          <w:lang w:bidi="en-US"/>
        </w:rPr>
        <w:t>（2022年</w:t>
      </w:r>
      <w:r>
        <w:rPr>
          <w:rFonts w:ascii="宋体" w:hAnsi="宋体"/>
          <w:kern w:val="0"/>
          <w:sz w:val="24"/>
          <w:szCs w:val="21"/>
          <w:lang w:bidi="en-US"/>
        </w:rPr>
        <w:t>10</w:t>
      </w:r>
      <w:r>
        <w:rPr>
          <w:rFonts w:hint="eastAsia" w:ascii="宋体" w:hAnsi="宋体"/>
          <w:kern w:val="0"/>
          <w:sz w:val="24"/>
          <w:szCs w:val="21"/>
          <w:lang w:bidi="en-US"/>
        </w:rPr>
        <w:t>月1日至今）</w:t>
      </w:r>
      <w:r>
        <w:rPr>
          <w:rFonts w:hint="eastAsia" w:ascii="宋体" w:cs="宋体"/>
          <w:sz w:val="24"/>
          <w:lang w:bidi="ar"/>
        </w:rPr>
        <w:t>至少承揽过3个</w:t>
      </w:r>
      <w:r>
        <w:rPr>
          <w:rFonts w:hint="eastAsia" w:ascii="宋体" w:cs="宋体"/>
          <w:sz w:val="24"/>
          <w:u w:val="single"/>
          <w:lang w:bidi="ar"/>
        </w:rPr>
        <w:t>合同额不低于2</w:t>
      </w:r>
      <w:r>
        <w:rPr>
          <w:rFonts w:ascii="宋体" w:cs="宋体"/>
          <w:sz w:val="24"/>
          <w:u w:val="single"/>
          <w:lang w:bidi="ar"/>
        </w:rPr>
        <w:t>00</w:t>
      </w:r>
      <w:r>
        <w:rPr>
          <w:rFonts w:hint="eastAsia" w:ascii="宋体" w:cs="宋体"/>
          <w:sz w:val="24"/>
          <w:u w:val="single"/>
          <w:lang w:bidi="ar"/>
        </w:rPr>
        <w:t>万元</w:t>
      </w:r>
      <w:r>
        <w:rPr>
          <w:rFonts w:hint="eastAsia" w:ascii="宋体" w:cs="宋体"/>
          <w:sz w:val="24"/>
          <w:lang w:bidi="ar"/>
        </w:rPr>
        <w:t>的类似工业项目业绩（以合同签订时间为准），报名时需提供合同原件的扫描件；</w:t>
      </w:r>
    </w:p>
    <w:bookmarkEnd w:id="17"/>
    <w:p>
      <w:pPr>
        <w:widowControl/>
        <w:spacing w:line="360" w:lineRule="auto"/>
        <w:ind w:left="2" w:firstLine="480" w:firstLineChars="200"/>
        <w:jc w:val="left"/>
        <w:rPr>
          <w:rFonts w:ascii="宋体" w:cs="宋体"/>
          <w:sz w:val="24"/>
          <w:lang w:bidi="ar"/>
        </w:rPr>
      </w:pPr>
      <w:r>
        <w:rPr>
          <w:rFonts w:hint="eastAsia" w:ascii="宋体" w:cs="宋体"/>
          <w:sz w:val="24"/>
          <w:lang w:bidi="ar"/>
        </w:rPr>
        <w:t>（</w:t>
      </w:r>
      <w:r>
        <w:rPr>
          <w:rFonts w:ascii="宋体" w:cs="宋体"/>
          <w:sz w:val="24"/>
          <w:lang w:bidi="ar"/>
        </w:rPr>
        <w:t>7</w:t>
      </w:r>
      <w:r>
        <w:rPr>
          <w:rFonts w:hint="eastAsia" w:ascii="宋体" w:cs="宋体"/>
          <w:sz w:val="24"/>
          <w:lang w:bidi="ar"/>
        </w:rPr>
        <w:t>）单位负责人为同一人或者存在控股、管理关系的不同投标人，不得同时报名参加本次招标活动，否则须另提供上级单位对本项目投标的授权；</w:t>
      </w:r>
    </w:p>
    <w:p>
      <w:pPr>
        <w:pStyle w:val="2"/>
        <w:ind w:left="0" w:leftChars="0" w:firstLine="480"/>
        <w:rPr>
          <w:rFonts w:ascii="宋体" w:cs="宋体"/>
          <w:sz w:val="24"/>
          <w:lang w:bidi="ar"/>
        </w:rPr>
      </w:pPr>
      <w:r>
        <w:rPr>
          <w:rFonts w:hint="eastAsia" w:ascii="宋体" w:cs="宋体"/>
          <w:sz w:val="24"/>
          <w:lang w:bidi="ar"/>
        </w:rPr>
        <w:t>（</w:t>
      </w:r>
      <w:r>
        <w:rPr>
          <w:rFonts w:ascii="宋体" w:cs="宋体"/>
          <w:sz w:val="24"/>
          <w:lang w:bidi="ar"/>
        </w:rPr>
        <w:t>8</w:t>
      </w:r>
      <w:r>
        <w:rPr>
          <w:rFonts w:hint="eastAsia" w:ascii="宋体" w:cs="宋体"/>
          <w:sz w:val="24"/>
          <w:lang w:bidi="ar"/>
        </w:rPr>
        <w:t>）投标人没有被我公司列入黑名单；</w:t>
      </w:r>
    </w:p>
    <w:p>
      <w:pPr>
        <w:pStyle w:val="2"/>
        <w:ind w:left="0" w:leftChars="0" w:firstLine="480"/>
        <w:rPr>
          <w:rFonts w:ascii="宋体" w:cs="宋体"/>
          <w:sz w:val="24"/>
          <w:lang w:bidi="ar"/>
        </w:rPr>
      </w:pPr>
      <w:r>
        <w:rPr>
          <w:rFonts w:hint="eastAsia" w:ascii="宋体" w:cs="宋体"/>
          <w:sz w:val="24"/>
          <w:lang w:bidi="ar"/>
        </w:rPr>
        <w:t>（</w:t>
      </w:r>
      <w:r>
        <w:rPr>
          <w:rFonts w:ascii="宋体" w:cs="宋体"/>
          <w:sz w:val="24"/>
          <w:lang w:bidi="ar"/>
        </w:rPr>
        <w:t>9</w:t>
      </w:r>
      <w:r>
        <w:rPr>
          <w:rFonts w:hint="eastAsia" w:ascii="宋体" w:cs="宋体"/>
          <w:sz w:val="24"/>
          <w:lang w:bidi="ar"/>
        </w:rPr>
        <w:t>）投标人的直接或间接股东、法定代表人、董事、监事、高管非重汽员工及其亲属；</w:t>
      </w:r>
    </w:p>
    <w:p>
      <w:pPr>
        <w:widowControl/>
        <w:adjustRightInd w:val="0"/>
        <w:snapToGrid w:val="0"/>
        <w:spacing w:line="360" w:lineRule="auto"/>
        <w:ind w:firstLine="480" w:firstLineChars="200"/>
        <w:jc w:val="left"/>
        <w:rPr>
          <w:rFonts w:ascii="宋体" w:hAnsi="宋体"/>
          <w:kern w:val="0"/>
          <w:sz w:val="24"/>
          <w:szCs w:val="21"/>
          <w:lang w:bidi="en-US"/>
        </w:rPr>
      </w:pPr>
      <w:r>
        <w:rPr>
          <w:rFonts w:hint="eastAsia" w:ascii="宋体" w:cs="宋体"/>
          <w:kern w:val="0"/>
          <w:sz w:val="24"/>
          <w:lang w:bidi="en-US"/>
        </w:rPr>
        <w:t>（</w:t>
      </w:r>
      <w:r>
        <w:rPr>
          <w:rFonts w:ascii="宋体" w:cs="宋体"/>
          <w:kern w:val="0"/>
          <w:sz w:val="24"/>
          <w:lang w:bidi="en-US"/>
        </w:rPr>
        <w:t>10</w:t>
      </w:r>
      <w:r>
        <w:rPr>
          <w:rFonts w:hint="eastAsia" w:ascii="宋体" w:cs="宋体"/>
          <w:kern w:val="0"/>
          <w:sz w:val="24"/>
          <w:lang w:bidi="en-US"/>
        </w:rPr>
        <w:t>）法律法规对合格</w:t>
      </w:r>
      <w:r>
        <w:rPr>
          <w:rFonts w:hint="eastAsia" w:ascii="宋体" w:hAnsi="宋体"/>
          <w:kern w:val="0"/>
          <w:sz w:val="24"/>
          <w:szCs w:val="21"/>
          <w:lang w:bidi="en-US"/>
        </w:rPr>
        <w:t>投标人</w:t>
      </w:r>
      <w:r>
        <w:rPr>
          <w:rFonts w:hint="eastAsia" w:ascii="宋体" w:cs="宋体"/>
          <w:kern w:val="0"/>
          <w:sz w:val="24"/>
          <w:lang w:bidi="en-US"/>
        </w:rPr>
        <w:t>的其他要求、规定。</w:t>
      </w:r>
    </w:p>
    <w:bookmarkEnd w:id="15"/>
    <w:p>
      <w:pPr>
        <w:widowControl/>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3.2 报名单位</w:t>
      </w:r>
      <w:r>
        <w:rPr>
          <w:rFonts w:hint="eastAsia" w:ascii="宋体" w:hAnsi="宋体" w:cs="宋体"/>
          <w:kern w:val="0"/>
          <w:sz w:val="24"/>
          <w:u w:val="single"/>
          <w:lang w:bidi="en-US"/>
        </w:rPr>
        <w:t xml:space="preserve"> 不可以 </w:t>
      </w:r>
      <w:r>
        <w:rPr>
          <w:rFonts w:hint="eastAsia" w:ascii="宋体" w:hAnsi="宋体" w:cs="宋体"/>
          <w:kern w:val="0"/>
          <w:sz w:val="24"/>
          <w:lang w:bidi="en-US"/>
        </w:rPr>
        <w:t>组成联合体投标。</w:t>
      </w:r>
    </w:p>
    <w:p>
      <w:pPr>
        <w:widowControl/>
        <w:spacing w:line="500" w:lineRule="exact"/>
        <w:jc w:val="left"/>
        <w:rPr>
          <w:rFonts w:ascii="宋体" w:hAnsi="宋体" w:cs="宋体"/>
          <w:b/>
          <w:bCs/>
          <w:kern w:val="0"/>
          <w:sz w:val="24"/>
          <w:lang w:bidi="en-US"/>
        </w:rPr>
      </w:pPr>
      <w:r>
        <w:rPr>
          <w:rFonts w:hint="eastAsia" w:ascii="宋体" w:hAnsi="宋体" w:cs="宋体"/>
          <w:b/>
          <w:bCs/>
          <w:kern w:val="0"/>
          <w:sz w:val="24"/>
          <w:lang w:bidi="en-US"/>
        </w:rPr>
        <w:t>4．</w:t>
      </w:r>
      <w:r>
        <w:rPr>
          <w:rFonts w:hint="eastAsia" w:ascii="宋体" w:hAnsi="宋体" w:cs="宋体"/>
          <w:b/>
          <w:bCs/>
          <w:kern w:val="0"/>
          <w:sz w:val="24"/>
          <w:lang w:val="en-US" w:eastAsia="zh-CN" w:bidi="en-US"/>
        </w:rPr>
        <w:t>应标</w:t>
      </w:r>
      <w:r>
        <w:rPr>
          <w:rFonts w:hint="eastAsia" w:ascii="宋体" w:hAnsi="宋体" w:cs="宋体"/>
          <w:b/>
          <w:bCs/>
          <w:kern w:val="0"/>
          <w:sz w:val="24"/>
          <w:lang w:bidi="en-US"/>
        </w:rPr>
        <w:t>及</w:t>
      </w:r>
      <w:r>
        <w:rPr>
          <w:rFonts w:hint="eastAsia" w:ascii="宋体" w:hAnsi="宋体" w:cs="宋体"/>
          <w:b/>
          <w:bCs/>
          <w:kern w:val="0"/>
          <w:sz w:val="24"/>
          <w:lang w:val="en-US" w:eastAsia="zh-CN" w:bidi="en-US"/>
        </w:rPr>
        <w:t>投标</w:t>
      </w:r>
    </w:p>
    <w:p>
      <w:pPr>
        <w:widowControl/>
        <w:spacing w:line="360" w:lineRule="auto"/>
        <w:ind w:firstLine="480" w:firstLineChars="200"/>
        <w:rPr>
          <w:rFonts w:hint="eastAsia" w:ascii="宋体" w:cs="宋体"/>
          <w:sz w:val="24"/>
          <w:lang w:bidi="ar"/>
        </w:rPr>
      </w:pPr>
      <w:r>
        <w:rPr>
          <w:rFonts w:hint="eastAsia" w:ascii="宋体" w:hAnsi="宋体" w:cs="宋体"/>
          <w:kern w:val="0"/>
          <w:sz w:val="24"/>
          <w:lang w:bidi="en-US"/>
        </w:rPr>
        <w:t>4.1凡有意参加投标者，请于202</w:t>
      </w:r>
      <w:r>
        <w:rPr>
          <w:rFonts w:ascii="宋体" w:hAnsi="宋体" w:cs="宋体"/>
          <w:kern w:val="0"/>
          <w:sz w:val="24"/>
          <w:lang w:bidi="en-US"/>
        </w:rPr>
        <w:t>5</w:t>
      </w:r>
      <w:r>
        <w:rPr>
          <w:rFonts w:hint="eastAsia" w:ascii="宋体" w:hAnsi="宋体" w:cs="宋体"/>
          <w:kern w:val="0"/>
          <w:sz w:val="24"/>
          <w:lang w:bidi="en-US"/>
        </w:rPr>
        <w:t>年</w:t>
      </w:r>
      <w:r>
        <w:rPr>
          <w:rFonts w:hint="eastAsia" w:ascii="宋体" w:hAnsi="宋体" w:cs="宋体"/>
          <w:kern w:val="0"/>
          <w:sz w:val="24"/>
          <w:u w:val="single"/>
          <w:lang w:val="en-US" w:eastAsia="zh-CN" w:bidi="en-US"/>
        </w:rPr>
        <w:t>10</w:t>
      </w:r>
      <w:r>
        <w:rPr>
          <w:rFonts w:hint="eastAsia" w:ascii="宋体" w:hAnsi="宋体" w:cs="宋体"/>
          <w:kern w:val="0"/>
          <w:sz w:val="24"/>
          <w:lang w:bidi="en-US"/>
        </w:rPr>
        <w:t>月</w:t>
      </w:r>
      <w:r>
        <w:rPr>
          <w:rFonts w:hint="eastAsia" w:ascii="宋体" w:hAnsi="宋体" w:cs="宋体"/>
          <w:kern w:val="0"/>
          <w:sz w:val="24"/>
          <w:u w:val="single"/>
          <w:lang w:val="en-US" w:eastAsia="zh-CN" w:bidi="en-US"/>
        </w:rPr>
        <w:t>17</w:t>
      </w:r>
      <w:r>
        <w:rPr>
          <w:rFonts w:hint="eastAsia" w:ascii="宋体" w:hAnsi="宋体" w:cs="宋体"/>
          <w:kern w:val="0"/>
          <w:sz w:val="24"/>
          <w:lang w:bidi="en-US"/>
        </w:rPr>
        <w:t>日至202</w:t>
      </w:r>
      <w:r>
        <w:rPr>
          <w:rFonts w:ascii="宋体" w:hAnsi="宋体" w:cs="宋体"/>
          <w:kern w:val="0"/>
          <w:sz w:val="24"/>
          <w:lang w:bidi="en-US"/>
        </w:rPr>
        <w:t>5</w:t>
      </w:r>
      <w:r>
        <w:rPr>
          <w:rFonts w:hint="eastAsia" w:ascii="宋体" w:hAnsi="宋体" w:cs="宋体"/>
          <w:kern w:val="0"/>
          <w:sz w:val="24"/>
          <w:lang w:bidi="en-US"/>
        </w:rPr>
        <w:t>年</w:t>
      </w:r>
      <w:r>
        <w:rPr>
          <w:rFonts w:hint="eastAsia" w:ascii="宋体" w:hAnsi="宋体" w:cs="宋体"/>
          <w:kern w:val="0"/>
          <w:sz w:val="24"/>
          <w:u w:val="single"/>
          <w:lang w:val="en-US" w:eastAsia="zh-CN" w:bidi="en-US"/>
        </w:rPr>
        <w:t>10</w:t>
      </w:r>
      <w:r>
        <w:rPr>
          <w:rFonts w:hint="eastAsia" w:ascii="宋体" w:hAnsi="宋体" w:cs="宋体"/>
          <w:kern w:val="0"/>
          <w:sz w:val="24"/>
          <w:lang w:bidi="en-US"/>
        </w:rPr>
        <w:t>月</w:t>
      </w:r>
      <w:r>
        <w:rPr>
          <w:rFonts w:hint="eastAsia" w:ascii="宋体" w:hAnsi="宋体" w:cs="宋体"/>
          <w:kern w:val="0"/>
          <w:sz w:val="24"/>
          <w:u w:val="single"/>
          <w:lang w:val="en-US" w:eastAsia="zh-CN" w:bidi="en-US"/>
        </w:rPr>
        <w:t>22</w:t>
      </w:r>
      <w:r>
        <w:rPr>
          <w:rFonts w:hint="eastAsia" w:ascii="宋体" w:hAnsi="宋体" w:cs="宋体"/>
          <w:kern w:val="0"/>
          <w:sz w:val="24"/>
          <w:lang w:bidi="en-US"/>
        </w:rPr>
        <w:t>日17:00（北京时间，下同），</w:t>
      </w:r>
      <w:r>
        <w:rPr>
          <w:rFonts w:hint="eastAsia" w:ascii="宋体" w:cs="宋体"/>
          <w:sz w:val="24"/>
          <w:lang w:bidi="ar"/>
        </w:rPr>
        <w:t>按照以下顺序及所列项相关资料的</w:t>
      </w:r>
      <w:r>
        <w:rPr>
          <w:rFonts w:hint="eastAsia" w:ascii="宋体" w:cs="宋体"/>
          <w:b/>
          <w:bCs/>
          <w:sz w:val="24"/>
          <w:lang w:bidi="ar"/>
        </w:rPr>
        <w:t>原件的扫描件</w:t>
      </w:r>
      <w:r>
        <w:rPr>
          <w:rFonts w:hint="eastAsia" w:ascii="宋体" w:cs="宋体"/>
          <w:sz w:val="24"/>
          <w:lang w:bidi="ar"/>
        </w:rPr>
        <w:t>（要求每一页原文件扫描在一页上，扫描文件必须清晰可辨否则影响报名的审核，扫描文件格式为pdf格式，禁止采用压缩文件格式或图片格式，</w:t>
      </w:r>
      <w:r>
        <w:rPr>
          <w:rFonts w:hint="eastAsia" w:ascii="宋体" w:cs="宋体"/>
          <w:b/>
          <w:bCs/>
          <w:sz w:val="24"/>
          <w:lang w:bidi="ar"/>
        </w:rPr>
        <w:t>所有扫描文件都集成到1个pdf文档</w:t>
      </w:r>
      <w:r>
        <w:rPr>
          <w:rFonts w:hint="eastAsia" w:ascii="宋体" w:cs="宋体"/>
          <w:sz w:val="24"/>
          <w:lang w:bidi="ar"/>
        </w:rPr>
        <w:t>并设置目录）</w:t>
      </w:r>
    </w:p>
    <w:p>
      <w:pPr>
        <w:pStyle w:val="2"/>
        <w:ind w:left="0" w:leftChars="0" w:firstLine="420" w:firstLineChars="0"/>
        <w:rPr>
          <w:rFonts w:hint="eastAsia" w:ascii="宋体" w:hAnsi="Times New Roman" w:eastAsia="宋体" w:cs="宋体"/>
          <w:kern w:val="2"/>
          <w:sz w:val="24"/>
          <w:szCs w:val="24"/>
          <w:lang w:val="en-US" w:eastAsia="zh-CN" w:bidi="ar"/>
        </w:rPr>
      </w:pPr>
      <w:r>
        <w:rPr>
          <w:rFonts w:hint="eastAsia" w:ascii="宋体" w:hAnsi="Times New Roman" w:eastAsia="宋体" w:cs="宋体"/>
          <w:kern w:val="2"/>
          <w:sz w:val="24"/>
          <w:szCs w:val="24"/>
          <w:lang w:val="en-US" w:eastAsia="zh-CN" w:bidi="ar"/>
        </w:rPr>
        <w:t>根据招标人在中国重汽官网等公开媒体上发布的招标信息，在“中国重汽e采通”平台报名。按照中国重汽e采通“SRM非生产供应商注册手册”（附件-供应商注册）进行注册，注册完毕后按照“SRM系统供应商用户手册（附件-供应商应标）”，登录重汽e采通平台后进入“供应商应标”，选择对应的项目，点击“应标”后按照下方资质文件组成准备资料并上传(资质标，要求做好目录），资质审查通过即为报名成功；公示期间请尽快报名。</w:t>
      </w:r>
    </w:p>
    <w:p>
      <w:pPr>
        <w:widowControl/>
        <w:spacing w:line="360" w:lineRule="auto"/>
        <w:ind w:firstLine="482" w:firstLineChars="200"/>
        <w:rPr>
          <w:rFonts w:hint="eastAsia" w:ascii="宋体" w:cs="宋体"/>
          <w:b/>
          <w:bCs/>
          <w:sz w:val="24"/>
          <w:lang w:bidi="ar"/>
        </w:rPr>
      </w:pPr>
      <w:r>
        <w:rPr>
          <w:rFonts w:hint="eastAsia" w:ascii="宋体" w:cs="宋体"/>
          <w:b/>
          <w:bCs/>
          <w:sz w:val="24"/>
          <w:lang w:bidi="ar"/>
        </w:rPr>
        <w:t>报名时提供的资料不合格的会</w:t>
      </w:r>
      <w:r>
        <w:rPr>
          <w:rFonts w:hint="eastAsia" w:ascii="宋体" w:cs="宋体"/>
          <w:b/>
          <w:bCs/>
          <w:sz w:val="24"/>
          <w:lang w:val="en-US" w:eastAsia="zh-CN" w:bidi="ar"/>
        </w:rPr>
        <w:t>在系统被驳回</w:t>
      </w:r>
      <w:r>
        <w:rPr>
          <w:rFonts w:hint="eastAsia" w:ascii="宋体" w:cs="宋体"/>
          <w:b/>
          <w:bCs/>
          <w:sz w:val="24"/>
          <w:lang w:bidi="ar"/>
        </w:rPr>
        <w:t>，请及时及时</w:t>
      </w:r>
      <w:r>
        <w:rPr>
          <w:rFonts w:hint="eastAsia" w:ascii="宋体" w:cs="宋体"/>
          <w:b/>
          <w:bCs/>
          <w:sz w:val="24"/>
          <w:lang w:val="en-US" w:eastAsia="zh-CN" w:bidi="ar"/>
        </w:rPr>
        <w:t>查阅并</w:t>
      </w:r>
      <w:r>
        <w:rPr>
          <w:rFonts w:hint="eastAsia" w:ascii="宋体" w:cs="宋体"/>
          <w:b/>
          <w:bCs/>
          <w:sz w:val="24"/>
          <w:lang w:bidi="ar"/>
        </w:rPr>
        <w:t>补齐资料，不能按时补充资料的视为自动放弃本次投标。</w:t>
      </w:r>
    </w:p>
    <w:p>
      <w:pPr>
        <w:pStyle w:val="8"/>
        <w:bidi w:val="0"/>
        <w:rPr>
          <w:rFonts w:hint="default"/>
          <w:lang w:val="en-US" w:eastAsia="zh-CN"/>
        </w:rPr>
      </w:pPr>
      <w:r>
        <w:rPr>
          <w:rFonts w:hint="eastAsia"/>
          <w:lang w:val="en-US" w:eastAsia="zh-CN"/>
        </w:rPr>
        <w:t>资质文件组成</w:t>
      </w:r>
    </w:p>
    <w:p>
      <w:pPr>
        <w:widowControl/>
        <w:numPr>
          <w:ilvl w:val="0"/>
          <w:numId w:val="1"/>
        </w:numPr>
        <w:spacing w:line="360" w:lineRule="auto"/>
        <w:rPr>
          <w:kern w:val="0"/>
          <w:sz w:val="24"/>
          <w:szCs w:val="21"/>
          <w:lang w:bidi="en-US"/>
        </w:rPr>
      </w:pPr>
      <w:r>
        <w:rPr>
          <w:rFonts w:hint="eastAsia"/>
          <w:kern w:val="0"/>
          <w:sz w:val="24"/>
          <w:szCs w:val="21"/>
          <w:lang w:bidi="en-US"/>
        </w:rPr>
        <w:t>XXX公司XXX项目投标信息明细表（详见本公告附件1，</w:t>
      </w:r>
      <w:r>
        <w:rPr>
          <w:rFonts w:hint="eastAsia"/>
          <w:b/>
          <w:bCs/>
          <w:kern w:val="0"/>
          <w:sz w:val="24"/>
          <w:szCs w:val="21"/>
          <w:lang w:bidi="en-US"/>
        </w:rPr>
        <w:t>注意要求</w:t>
      </w:r>
      <w:r>
        <w:rPr>
          <w:rFonts w:hint="eastAsia"/>
          <w:b/>
          <w:bCs/>
          <w:color w:val="C00000"/>
          <w:kern w:val="0"/>
          <w:sz w:val="24"/>
          <w:szCs w:val="21"/>
          <w:lang w:bidi="en-US"/>
        </w:rPr>
        <w:t>附件1同时提供一份EXCEL格式</w:t>
      </w:r>
      <w:r>
        <w:rPr>
          <w:rFonts w:hint="eastAsia"/>
          <w:b/>
          <w:bCs/>
          <w:kern w:val="0"/>
          <w:sz w:val="24"/>
          <w:szCs w:val="21"/>
          <w:lang w:bidi="en-US"/>
        </w:rPr>
        <w:t>，与上述PDF扫描件同时发邮箱</w:t>
      </w:r>
      <w:r>
        <w:rPr>
          <w:rFonts w:hint="eastAsia"/>
          <w:kern w:val="0"/>
          <w:sz w:val="24"/>
          <w:szCs w:val="21"/>
          <w:lang w:bidi="en-US"/>
        </w:rPr>
        <w:t>）</w:t>
      </w:r>
    </w:p>
    <w:p>
      <w:pPr>
        <w:widowControl/>
        <w:numPr>
          <w:ilvl w:val="0"/>
          <w:numId w:val="1"/>
        </w:numPr>
        <w:spacing w:line="360" w:lineRule="auto"/>
        <w:rPr>
          <w:kern w:val="0"/>
          <w:sz w:val="24"/>
          <w:szCs w:val="21"/>
          <w:lang w:bidi="en-US"/>
        </w:rPr>
      </w:pPr>
      <w:r>
        <w:rPr>
          <w:rFonts w:hint="eastAsia"/>
          <w:kern w:val="0"/>
          <w:sz w:val="24"/>
          <w:szCs w:val="21"/>
          <w:lang w:bidi="en-US"/>
        </w:rPr>
        <w:t>营业执照；</w:t>
      </w:r>
    </w:p>
    <w:p>
      <w:pPr>
        <w:widowControl/>
        <w:numPr>
          <w:ilvl w:val="0"/>
          <w:numId w:val="1"/>
        </w:numPr>
        <w:spacing w:line="360" w:lineRule="auto"/>
        <w:rPr>
          <w:kern w:val="0"/>
          <w:sz w:val="24"/>
          <w:szCs w:val="21"/>
          <w:lang w:bidi="en-US"/>
        </w:rPr>
      </w:pPr>
      <w:r>
        <w:rPr>
          <w:rFonts w:hint="eastAsia"/>
          <w:kern w:val="0"/>
          <w:sz w:val="24"/>
          <w:szCs w:val="21"/>
          <w:lang w:bidi="en-US"/>
        </w:rPr>
        <w:t>资质证书；</w:t>
      </w:r>
    </w:p>
    <w:p>
      <w:pPr>
        <w:widowControl/>
        <w:numPr>
          <w:ilvl w:val="0"/>
          <w:numId w:val="1"/>
        </w:numPr>
        <w:spacing w:line="360" w:lineRule="auto"/>
        <w:rPr>
          <w:kern w:val="0"/>
          <w:sz w:val="24"/>
          <w:szCs w:val="21"/>
          <w:lang w:bidi="en-US"/>
        </w:rPr>
      </w:pPr>
      <w:r>
        <w:rPr>
          <w:rFonts w:hint="eastAsia"/>
          <w:kern w:val="0"/>
          <w:sz w:val="24"/>
          <w:szCs w:val="21"/>
          <w:lang w:bidi="en-US"/>
        </w:rPr>
        <w:t>安全生产许可证；</w:t>
      </w:r>
    </w:p>
    <w:p>
      <w:pPr>
        <w:widowControl/>
        <w:numPr>
          <w:ilvl w:val="0"/>
          <w:numId w:val="1"/>
        </w:numPr>
        <w:spacing w:line="360" w:lineRule="auto"/>
        <w:rPr>
          <w:kern w:val="0"/>
          <w:sz w:val="24"/>
          <w:szCs w:val="21"/>
          <w:lang w:bidi="en-US"/>
        </w:rPr>
      </w:pPr>
      <w:r>
        <w:rPr>
          <w:rFonts w:hint="eastAsia"/>
          <w:kern w:val="0"/>
          <w:sz w:val="24"/>
          <w:szCs w:val="21"/>
          <w:lang w:bidi="en-US"/>
        </w:rPr>
        <w:t>信用中国，</w:t>
      </w:r>
      <w:r>
        <w:rPr>
          <w:rFonts w:hint="eastAsia" w:ascii="宋体" w:cs="宋体"/>
          <w:sz w:val="24"/>
          <w:lang w:bidi="ar"/>
        </w:rPr>
        <w:t>“中国执行信息公开网”截图</w:t>
      </w:r>
      <w:r>
        <w:rPr>
          <w:rFonts w:hint="eastAsia"/>
          <w:kern w:val="0"/>
          <w:sz w:val="24"/>
          <w:szCs w:val="21"/>
          <w:lang w:bidi="en-US"/>
        </w:rPr>
        <w:t>；</w:t>
      </w:r>
    </w:p>
    <w:p>
      <w:pPr>
        <w:widowControl/>
        <w:numPr>
          <w:ilvl w:val="0"/>
          <w:numId w:val="1"/>
        </w:numPr>
        <w:spacing w:line="360" w:lineRule="auto"/>
        <w:jc w:val="left"/>
        <w:rPr>
          <w:kern w:val="0"/>
          <w:sz w:val="24"/>
          <w:szCs w:val="21"/>
          <w:lang w:bidi="en-US"/>
        </w:rPr>
      </w:pPr>
      <w:r>
        <w:rPr>
          <w:rFonts w:hint="eastAsia" w:ascii="宋体" w:cs="宋体"/>
          <w:sz w:val="24"/>
          <w:lang w:bidi="ar"/>
        </w:rPr>
        <w:t>投标单位资产情况汇总表，按照下述表格内容及顺序如实填写。填写的依据为经审计事务所审计并盖章的企业财务审计报告等相关资料，并将对应年度（2022-2024年，提供最近三年报告）企业财务审计报告扫描件附后，</w:t>
      </w:r>
      <w:r>
        <w:rPr>
          <w:rFonts w:hint="eastAsia" w:ascii="宋体" w:hAnsi="宋体"/>
          <w:kern w:val="0"/>
          <w:sz w:val="24"/>
          <w:lang w:bidi="en-US"/>
        </w:rPr>
        <w:t>还应包含</w:t>
      </w:r>
      <w:r>
        <w:rPr>
          <w:rFonts w:hint="eastAsia" w:ascii="宋体" w:hAnsi="宋体"/>
          <w:b/>
          <w:bCs/>
          <w:kern w:val="0"/>
          <w:sz w:val="24"/>
          <w:lang w:bidi="en-US"/>
        </w:rPr>
        <w:t>企业最近半年完税证明、信用证明材料</w:t>
      </w:r>
      <w:r>
        <w:rPr>
          <w:rFonts w:hint="eastAsia" w:ascii="宋体" w:hAnsi="宋体"/>
          <w:kern w:val="0"/>
          <w:sz w:val="24"/>
          <w:lang w:bidi="en-US"/>
        </w:rPr>
        <w:t>（中国人民银行征信报告）；</w:t>
      </w:r>
      <w:r>
        <w:rPr>
          <w:rFonts w:hint="eastAsia" w:ascii="宋体" w:hAnsi="宋体"/>
          <w:b/>
          <w:bCs/>
          <w:kern w:val="0"/>
          <w:sz w:val="24"/>
          <w:lang w:bidi="en-US"/>
        </w:rPr>
        <w:t>年度纳税信用评价信息</w:t>
      </w:r>
      <w:r>
        <w:rPr>
          <w:rFonts w:hint="eastAsia"/>
          <w:kern w:val="0"/>
          <w:sz w:val="24"/>
          <w:szCs w:val="21"/>
          <w:lang w:bidi="en-US"/>
        </w:rPr>
        <w:t>（可从电子税务局查询截图，需加盖公章）</w:t>
      </w:r>
      <w:r>
        <w:rPr>
          <w:rFonts w:hint="eastAsia" w:ascii="宋体" w:hAnsi="宋体"/>
          <w:kern w:val="0"/>
          <w:sz w:val="24"/>
          <w:lang w:bidi="en-US"/>
        </w:rPr>
        <w:t>；</w:t>
      </w:r>
      <w:r>
        <w:rPr>
          <w:rFonts w:hint="eastAsia" w:ascii="宋体" w:hAnsi="宋体"/>
          <w:b/>
          <w:bCs/>
          <w:kern w:val="0"/>
          <w:sz w:val="24"/>
          <w:lang w:bidi="en-US"/>
        </w:rPr>
        <w:t>企业对外担保说明</w:t>
      </w:r>
      <w:r>
        <w:rPr>
          <w:rFonts w:hint="eastAsia"/>
          <w:kern w:val="0"/>
          <w:sz w:val="24"/>
          <w:szCs w:val="21"/>
          <w:lang w:bidi="en-US"/>
        </w:rPr>
        <w:t>（写明贵单位对外有无对外担保和质押业务，需加盖公章）</w:t>
      </w:r>
      <w:r>
        <w:rPr>
          <w:rFonts w:hint="eastAsia" w:ascii="宋体" w:cs="宋体"/>
          <w:sz w:val="24"/>
          <w:lang w:bidi="ar"/>
        </w:rPr>
        <w:t>。</w:t>
      </w:r>
      <w:r>
        <w:rPr>
          <w:rFonts w:hint="eastAsia" w:ascii="宋体" w:cs="宋体"/>
          <w:b/>
          <w:bCs/>
          <w:sz w:val="24"/>
          <w:lang w:bidi="ar"/>
        </w:rPr>
        <w:t>注意没有投标单位资产情况汇总表或扫描件不清晰无法辨认则会影响报名成功</w:t>
      </w:r>
      <w:r>
        <w:rPr>
          <w:rFonts w:hint="eastAsia"/>
          <w:kern w:val="0"/>
          <w:sz w:val="24"/>
          <w:lang w:bidi="en-US"/>
        </w:rPr>
        <w:t>；</w:t>
      </w:r>
    </w:p>
    <w:tbl>
      <w:tblPr>
        <w:tblStyle w:val="37"/>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426"/>
        <w:gridCol w:w="2295"/>
        <w:gridCol w:w="2283"/>
        <w:gridCol w:w="228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7" w:type="dxa"/>
            <w:gridSpan w:val="4"/>
            <w:vAlign w:val="center"/>
          </w:tcPr>
          <w:p>
            <w:pPr>
              <w:spacing w:line="360" w:lineRule="auto"/>
              <w:jc w:val="center"/>
              <w:rPr>
                <w:rStyle w:val="58"/>
                <w:rFonts w:ascii="宋体"/>
              </w:rPr>
            </w:pPr>
            <w:r>
              <w:rPr>
                <w:rStyle w:val="58"/>
                <w:rFonts w:hint="eastAsia" w:ascii="宋体"/>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注册资金（万元）</w:t>
            </w:r>
          </w:p>
        </w:tc>
        <w:tc>
          <w:tcPr>
            <w:tcW w:w="6861" w:type="dxa"/>
            <w:gridSpan w:val="3"/>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实收资金（万元）</w:t>
            </w:r>
          </w:p>
        </w:tc>
        <w:tc>
          <w:tcPr>
            <w:tcW w:w="6861" w:type="dxa"/>
            <w:gridSpan w:val="3"/>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年度资产情况</w:t>
            </w:r>
          </w:p>
        </w:tc>
        <w:tc>
          <w:tcPr>
            <w:tcW w:w="2295" w:type="dxa"/>
          </w:tcPr>
          <w:p>
            <w:pPr>
              <w:spacing w:line="360" w:lineRule="auto"/>
              <w:jc w:val="center"/>
              <w:rPr>
                <w:rStyle w:val="58"/>
                <w:rFonts w:ascii="宋体"/>
              </w:rPr>
            </w:pPr>
            <w:r>
              <w:rPr>
                <w:rStyle w:val="58"/>
                <w:rFonts w:hint="eastAsia" w:ascii="宋体"/>
              </w:rPr>
              <w:t>2022年</w:t>
            </w:r>
          </w:p>
        </w:tc>
        <w:tc>
          <w:tcPr>
            <w:tcW w:w="2283" w:type="dxa"/>
          </w:tcPr>
          <w:p>
            <w:pPr>
              <w:spacing w:line="360" w:lineRule="auto"/>
              <w:jc w:val="center"/>
              <w:rPr>
                <w:rStyle w:val="58"/>
                <w:rFonts w:ascii="宋体"/>
              </w:rPr>
            </w:pPr>
            <w:r>
              <w:rPr>
                <w:rStyle w:val="58"/>
                <w:rFonts w:hint="eastAsia" w:ascii="宋体"/>
              </w:rPr>
              <w:t>2023年</w:t>
            </w:r>
          </w:p>
        </w:tc>
        <w:tc>
          <w:tcPr>
            <w:tcW w:w="2283" w:type="dxa"/>
          </w:tcPr>
          <w:p>
            <w:pPr>
              <w:spacing w:line="360" w:lineRule="auto"/>
              <w:jc w:val="center"/>
              <w:rPr>
                <w:rStyle w:val="58"/>
                <w:rFonts w:ascii="宋体"/>
              </w:rPr>
            </w:pPr>
            <w:r>
              <w:rPr>
                <w:rStyle w:val="58"/>
                <w:rFonts w:hint="eastAsia" w:ascii="宋体"/>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流动资产（万元）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非流动资产（万元）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营业收入（万元）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年底资产总值（万元）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年底负债总值（万元）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资产负债率（</w:t>
            </w:r>
            <w:r>
              <w:rPr>
                <w:rStyle w:val="58"/>
                <w:rFonts w:hint="eastAsia" w:ascii="宋体"/>
                <w:u w:val="single"/>
              </w:rPr>
              <w:t xml:space="preserve">  </w:t>
            </w:r>
            <w:r>
              <w:rPr>
                <w:rStyle w:val="58"/>
                <w:rFonts w:hint="eastAsia" w:ascii="宋体"/>
              </w:rPr>
              <w:t>%）</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净利润（万元）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Style w:val="58"/>
                <w:rFonts w:ascii="宋体"/>
              </w:rPr>
            </w:pPr>
            <w:r>
              <w:rPr>
                <w:rStyle w:val="58"/>
                <w:rFonts w:hint="eastAsia" w:ascii="宋体"/>
              </w:rPr>
              <w:t>未分配利润（万元）</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Fonts w:ascii="宋体"/>
              </w:rPr>
            </w:pPr>
            <w:r>
              <w:rPr>
                <w:rStyle w:val="58"/>
                <w:rFonts w:hint="eastAsia" w:ascii="宋体"/>
              </w:rPr>
              <w:t>营运资金</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426" w:type="dxa"/>
          </w:tcPr>
          <w:p>
            <w:pPr>
              <w:spacing w:line="360" w:lineRule="auto"/>
              <w:jc w:val="center"/>
              <w:rPr>
                <w:rFonts w:ascii="宋体"/>
              </w:rPr>
            </w:pPr>
            <w:r>
              <w:rPr>
                <w:rStyle w:val="58"/>
                <w:rFonts w:hint="eastAsia" w:ascii="宋体"/>
                <w:sz w:val="20"/>
                <w:szCs w:val="20"/>
              </w:rPr>
              <w:t>（本年营业收入-上年营业收入）÷上年营业收入</w:t>
            </w:r>
          </w:p>
        </w:tc>
        <w:tc>
          <w:tcPr>
            <w:tcW w:w="2295"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c>
          <w:tcPr>
            <w:tcW w:w="2283" w:type="dxa"/>
          </w:tcPr>
          <w:p>
            <w:pPr>
              <w:spacing w:line="360" w:lineRule="auto"/>
              <w:jc w:val="center"/>
              <w:rPr>
                <w:rStyle w:val="58"/>
                <w:rFonts w:ascii="宋体"/>
              </w:rPr>
            </w:pPr>
          </w:p>
        </w:tc>
      </w:tr>
    </w:tbl>
    <w:p>
      <w:pPr>
        <w:widowControl/>
        <w:numPr>
          <w:ilvl w:val="0"/>
          <w:numId w:val="1"/>
        </w:numPr>
        <w:spacing w:line="360" w:lineRule="auto"/>
        <w:rPr>
          <w:kern w:val="0"/>
          <w:sz w:val="24"/>
          <w:szCs w:val="21"/>
          <w:lang w:bidi="en-US"/>
        </w:rPr>
      </w:pPr>
      <w:r>
        <w:rPr>
          <w:rFonts w:hint="eastAsia"/>
          <w:kern w:val="0"/>
          <w:sz w:val="24"/>
          <w:szCs w:val="21"/>
          <w:lang w:bidi="en-US"/>
        </w:rPr>
        <w:t>公司简介：包括但不限于公司发展史、企业文化、企业性质、规模和实力、营业水平、技术人员情况、在建项目情况、企业荣誉及认证、企业优势等；</w:t>
      </w:r>
    </w:p>
    <w:p>
      <w:pPr>
        <w:widowControl/>
        <w:numPr>
          <w:ilvl w:val="0"/>
          <w:numId w:val="1"/>
        </w:numPr>
        <w:spacing w:line="360" w:lineRule="auto"/>
        <w:rPr>
          <w:kern w:val="0"/>
          <w:sz w:val="24"/>
          <w:szCs w:val="21"/>
          <w:lang w:bidi="en-US"/>
        </w:rPr>
      </w:pPr>
      <w:r>
        <w:rPr>
          <w:rFonts w:hint="eastAsia"/>
          <w:kern w:val="0"/>
          <w:sz w:val="24"/>
          <w:szCs w:val="21"/>
          <w:lang w:bidi="en-US"/>
        </w:rPr>
        <w:t>拟派项目经理注册建造师证书证及有效的安全考核合格</w:t>
      </w:r>
      <w:r>
        <w:rPr>
          <w:kern w:val="0"/>
          <w:sz w:val="24"/>
          <w:szCs w:val="21"/>
          <w:lang w:bidi="en-US"/>
        </w:rPr>
        <w:t>B</w:t>
      </w:r>
      <w:r>
        <w:rPr>
          <w:rFonts w:hint="eastAsia"/>
          <w:kern w:val="0"/>
          <w:sz w:val="24"/>
          <w:szCs w:val="21"/>
          <w:lang w:bidi="en-US"/>
        </w:rPr>
        <w:t>证，项目经理的履历简介、从业业绩、近</w:t>
      </w:r>
      <w:r>
        <w:rPr>
          <w:kern w:val="0"/>
          <w:sz w:val="24"/>
          <w:szCs w:val="21"/>
          <w:lang w:bidi="en-US"/>
        </w:rPr>
        <w:t>6</w:t>
      </w:r>
      <w:r>
        <w:rPr>
          <w:rFonts w:hint="eastAsia"/>
          <w:kern w:val="0"/>
          <w:sz w:val="24"/>
          <w:szCs w:val="21"/>
          <w:lang w:bidi="en-US"/>
        </w:rPr>
        <w:t>个月社保缴纳证明；</w:t>
      </w:r>
    </w:p>
    <w:p>
      <w:pPr>
        <w:widowControl/>
        <w:numPr>
          <w:ilvl w:val="0"/>
          <w:numId w:val="1"/>
        </w:numPr>
        <w:spacing w:line="360" w:lineRule="auto"/>
        <w:rPr>
          <w:kern w:val="0"/>
          <w:sz w:val="24"/>
          <w:szCs w:val="21"/>
          <w:lang w:bidi="en-US"/>
        </w:rPr>
      </w:pPr>
      <w:r>
        <w:rPr>
          <w:kern w:val="0"/>
          <w:sz w:val="24"/>
          <w:szCs w:val="21"/>
          <w:lang w:bidi="en-US"/>
        </w:rPr>
        <w:t>2022</w:t>
      </w:r>
      <w:r>
        <w:rPr>
          <w:rFonts w:hint="eastAsia"/>
          <w:kern w:val="0"/>
          <w:sz w:val="24"/>
          <w:szCs w:val="21"/>
          <w:lang w:bidi="en-US"/>
        </w:rPr>
        <w:t>年</w:t>
      </w:r>
      <w:r>
        <w:rPr>
          <w:kern w:val="0"/>
          <w:sz w:val="24"/>
          <w:szCs w:val="21"/>
          <w:lang w:bidi="en-US"/>
        </w:rPr>
        <w:t>10</w:t>
      </w:r>
      <w:r>
        <w:rPr>
          <w:rFonts w:hint="eastAsia"/>
          <w:kern w:val="0"/>
          <w:sz w:val="24"/>
          <w:szCs w:val="21"/>
          <w:lang w:bidi="en-US"/>
        </w:rPr>
        <w:t>月</w:t>
      </w:r>
      <w:r>
        <w:rPr>
          <w:kern w:val="0"/>
          <w:sz w:val="24"/>
          <w:szCs w:val="21"/>
          <w:lang w:bidi="en-US"/>
        </w:rPr>
        <w:t>1</w:t>
      </w:r>
      <w:r>
        <w:rPr>
          <w:rFonts w:hint="eastAsia"/>
          <w:kern w:val="0"/>
          <w:sz w:val="24"/>
          <w:szCs w:val="21"/>
          <w:lang w:bidi="en-US"/>
        </w:rPr>
        <w:t>日至今类似项目业绩（合同额不低于</w:t>
      </w:r>
      <w:r>
        <w:rPr>
          <w:kern w:val="0"/>
          <w:sz w:val="24"/>
          <w:szCs w:val="21"/>
          <w:lang w:bidi="en-US"/>
        </w:rPr>
        <w:t>200</w:t>
      </w:r>
      <w:r>
        <w:rPr>
          <w:rFonts w:hint="eastAsia"/>
          <w:kern w:val="0"/>
          <w:sz w:val="24"/>
          <w:szCs w:val="21"/>
          <w:lang w:bidi="en-US"/>
        </w:rPr>
        <w:t>万元），要求提供合同及验收报告（如有）原件扫描件，至少三份，能报尽报，填写</w:t>
      </w:r>
      <w:r>
        <w:rPr>
          <w:rFonts w:hint="eastAsia"/>
          <w:b/>
          <w:bCs/>
          <w:kern w:val="0"/>
          <w:sz w:val="24"/>
          <w:szCs w:val="21"/>
          <w:lang w:bidi="en-US"/>
        </w:rPr>
        <w:t>附件</w:t>
      </w:r>
      <w:r>
        <w:rPr>
          <w:b/>
          <w:bCs/>
          <w:kern w:val="0"/>
          <w:sz w:val="24"/>
          <w:szCs w:val="21"/>
          <w:lang w:bidi="en-US"/>
        </w:rPr>
        <w:t>2</w:t>
      </w:r>
      <w:r>
        <w:rPr>
          <w:rFonts w:hint="eastAsia"/>
          <w:kern w:val="0"/>
          <w:sz w:val="24"/>
          <w:szCs w:val="21"/>
          <w:lang w:bidi="en-US"/>
        </w:rPr>
        <w:t>；</w:t>
      </w:r>
    </w:p>
    <w:p>
      <w:pPr>
        <w:widowControl/>
        <w:numPr>
          <w:ilvl w:val="0"/>
          <w:numId w:val="1"/>
        </w:numPr>
        <w:spacing w:line="360" w:lineRule="auto"/>
        <w:rPr>
          <w:kern w:val="0"/>
          <w:sz w:val="24"/>
          <w:szCs w:val="21"/>
          <w:lang w:bidi="en-US"/>
        </w:rPr>
      </w:pPr>
      <w:r>
        <w:rPr>
          <w:rFonts w:hint="eastAsia"/>
          <w:kern w:val="0"/>
          <w:sz w:val="24"/>
          <w:szCs w:val="21"/>
          <w:lang w:bidi="en-US"/>
        </w:rPr>
        <w:t>唯一的法人授权委托书（</w:t>
      </w:r>
      <w:r>
        <w:rPr>
          <w:rFonts w:hint="eastAsia"/>
          <w:b/>
          <w:bCs/>
          <w:kern w:val="0"/>
          <w:sz w:val="24"/>
          <w:szCs w:val="21"/>
          <w:lang w:bidi="en-US"/>
        </w:rPr>
        <w:t>附件</w:t>
      </w:r>
      <w:r>
        <w:rPr>
          <w:b/>
          <w:bCs/>
          <w:kern w:val="0"/>
          <w:sz w:val="24"/>
          <w:szCs w:val="21"/>
          <w:lang w:bidi="en-US"/>
        </w:rPr>
        <w:t>3</w:t>
      </w:r>
      <w:r>
        <w:rPr>
          <w:rFonts w:hint="eastAsia"/>
          <w:kern w:val="0"/>
          <w:sz w:val="24"/>
          <w:szCs w:val="21"/>
          <w:lang w:bidi="en-US"/>
        </w:rPr>
        <w:t>）、授权人和被授权人身份证，及在本单位近</w:t>
      </w:r>
      <w:r>
        <w:rPr>
          <w:kern w:val="0"/>
          <w:sz w:val="24"/>
          <w:szCs w:val="21"/>
          <w:lang w:bidi="en-US"/>
        </w:rPr>
        <w:t>12</w:t>
      </w:r>
      <w:r>
        <w:rPr>
          <w:rFonts w:hint="eastAsia"/>
          <w:kern w:val="0"/>
          <w:sz w:val="24"/>
          <w:szCs w:val="21"/>
          <w:lang w:bidi="en-US"/>
        </w:rPr>
        <w:t>个月社保缴纳证明；</w:t>
      </w:r>
    </w:p>
    <w:p>
      <w:pPr>
        <w:widowControl/>
        <w:numPr>
          <w:ilvl w:val="0"/>
          <w:numId w:val="1"/>
        </w:numPr>
        <w:spacing w:line="360" w:lineRule="auto"/>
        <w:rPr>
          <w:kern w:val="0"/>
          <w:sz w:val="24"/>
          <w:szCs w:val="21"/>
          <w:lang w:bidi="en-US"/>
        </w:rPr>
      </w:pPr>
      <w:r>
        <w:rPr>
          <w:rFonts w:hint="eastAsia"/>
          <w:kern w:val="0"/>
          <w:sz w:val="24"/>
          <w:szCs w:val="21"/>
          <w:lang w:bidi="en-US"/>
        </w:rPr>
        <w:t>联系人、联系方式、电子邮箱。</w:t>
      </w:r>
    </w:p>
    <w:p>
      <w:pPr>
        <w:adjustRightInd w:val="0"/>
        <w:snapToGrid w:val="0"/>
        <w:spacing w:line="360" w:lineRule="auto"/>
        <w:ind w:firstLine="482" w:firstLineChars="200"/>
        <w:rPr>
          <w:rFonts w:ascii="宋体" w:cs="宋体"/>
          <w:b/>
          <w:bCs/>
          <w:kern w:val="0"/>
          <w:sz w:val="24"/>
          <w:u w:val="single"/>
          <w:lang w:bidi="en-US"/>
        </w:rPr>
      </w:pPr>
      <w:r>
        <w:rPr>
          <w:rFonts w:hint="eastAsia" w:ascii="宋体" w:cs="宋体"/>
          <w:b/>
          <w:bCs/>
          <w:kern w:val="0"/>
          <w:sz w:val="24"/>
          <w:highlight w:val="yellow"/>
          <w:u w:val="single"/>
          <w:lang w:bidi="en-US"/>
        </w:rPr>
        <w:t>以上报名资料均要加盖公章。</w:t>
      </w:r>
    </w:p>
    <w:p>
      <w:pPr>
        <w:adjustRightInd w:val="0"/>
        <w:snapToGrid w:val="0"/>
        <w:spacing w:line="360" w:lineRule="auto"/>
        <w:rPr>
          <w:rFonts w:ascii="宋体" w:cs="宋体"/>
          <w:b/>
          <w:bCs/>
          <w:kern w:val="0"/>
          <w:sz w:val="24"/>
          <w:shd w:val="pct10" w:color="auto" w:fill="FFFFFF"/>
          <w:lang w:bidi="en-US"/>
        </w:rPr>
      </w:pPr>
      <w:r>
        <w:rPr>
          <w:rFonts w:hint="eastAsia" w:ascii="宋体" w:cs="宋体"/>
          <w:b/>
          <w:bCs/>
          <w:kern w:val="0"/>
          <w:sz w:val="24"/>
          <w:shd w:val="pct10" w:color="auto" w:fill="FFFFFF"/>
          <w:lang w:bidi="en-US"/>
        </w:rPr>
        <w:t>注意：</w:t>
      </w:r>
    </w:p>
    <w:p>
      <w:pPr>
        <w:spacing w:line="360" w:lineRule="auto"/>
        <w:ind w:firstLine="482" w:firstLineChars="200"/>
        <w:rPr>
          <w:rFonts w:ascii="宋体" w:cs="宋体"/>
          <w:b/>
          <w:bCs/>
          <w:sz w:val="24"/>
        </w:rPr>
      </w:pPr>
      <w:r>
        <w:rPr>
          <w:rFonts w:hint="eastAsia" w:ascii="宋体" w:cs="宋体"/>
          <w:b/>
          <w:bCs/>
          <w:kern w:val="0"/>
          <w:sz w:val="24"/>
          <w:lang w:bidi="en-US"/>
        </w:rPr>
        <w:t>本项目实行资格预审，报名成功不代表资格审查通过、入围投标名单。发放招标文件前，招标人进行资格审查验证，并对报名企业从公司规模实力、业绩、财务状况等多个方面按所提供的报名材料进行综合考察，根据审查考察结果以合格制、有限数量制确定投标入围名单</w:t>
      </w:r>
      <w:r>
        <w:rPr>
          <w:rFonts w:hint="eastAsia" w:ascii="宋体" w:cs="宋体"/>
          <w:sz w:val="24"/>
          <w:lang w:bidi="ar"/>
        </w:rPr>
        <w:t>。</w:t>
      </w:r>
    </w:p>
    <w:p>
      <w:pPr>
        <w:spacing w:line="360" w:lineRule="auto"/>
        <w:ind w:firstLine="482" w:firstLineChars="200"/>
        <w:jc w:val="left"/>
        <w:rPr>
          <w:rFonts w:ascii="宋体" w:cs="宋体"/>
          <w:b/>
          <w:bCs/>
          <w:sz w:val="24"/>
        </w:rPr>
      </w:pPr>
      <w:r>
        <w:rPr>
          <w:rFonts w:hint="eastAsia" w:ascii="宋体" w:cs="宋体"/>
          <w:b/>
          <w:bCs/>
          <w:sz w:val="24"/>
        </w:rPr>
        <w:t>入围者通过重汽e采通平台接收电子版招标文件，具体发送时间另行通知。</w:t>
      </w:r>
    </w:p>
    <w:p>
      <w:pPr>
        <w:spacing w:line="360" w:lineRule="auto"/>
        <w:ind w:firstLine="482" w:firstLineChars="200"/>
        <w:jc w:val="left"/>
        <w:rPr>
          <w:rStyle w:val="45"/>
          <w:color w:val="C00000"/>
          <w:lang w:bidi="ar"/>
        </w:rPr>
      </w:pPr>
      <w:r>
        <w:rPr>
          <w:rFonts w:hint="eastAsia" w:ascii="宋体" w:cs="宋体"/>
          <w:b/>
          <w:bCs/>
          <w:sz w:val="24"/>
          <w:lang w:bidi="ar"/>
        </w:rPr>
        <w:t>报名同时请按照本公告附件</w:t>
      </w:r>
      <w:r>
        <w:rPr>
          <w:rFonts w:ascii="宋体" w:cs="宋体"/>
          <w:b/>
          <w:bCs/>
          <w:sz w:val="24"/>
          <w:lang w:bidi="ar"/>
        </w:rPr>
        <w:t>4</w:t>
      </w:r>
      <w:r>
        <w:rPr>
          <w:rFonts w:hint="eastAsia" w:ascii="宋体" w:cs="宋体"/>
          <w:b/>
          <w:bCs/>
          <w:sz w:val="24"/>
          <w:lang w:bidi="ar"/>
        </w:rPr>
        <w:t>《非生产供应商注册操作手册》及e采通首页《供应商用户手册》提示完成平台注册（网址：</w:t>
      </w:r>
      <w:r>
        <w:rPr>
          <w:sz w:val="24"/>
        </w:rPr>
        <w:t>http</w:t>
      </w:r>
      <w:r>
        <w:rPr>
          <w:rFonts w:hint="eastAsia"/>
          <w:sz w:val="24"/>
        </w:rPr>
        <w:t>s</w:t>
      </w:r>
      <w:r>
        <w:rPr>
          <w:sz w:val="24"/>
        </w:rPr>
        <w:t>://ecaitong.sinotruk.com:8012/#/login），注册时，</w:t>
      </w:r>
      <w:r>
        <w:rPr>
          <w:rFonts w:hint="eastAsia"/>
          <w:sz w:val="24"/>
          <w:highlight w:val="yellow"/>
        </w:rPr>
        <w:t>供应商属性选择【非生产】、管理单位选择【直管单位】、意向配套单位选择【直管单位】；采购形式编号见本公告标题下方；经营概况“是否提供”原则上选择【能提供】，近三年财务数据</w:t>
      </w:r>
      <w:r>
        <w:rPr>
          <w:sz w:val="24"/>
          <w:highlight w:val="yellow"/>
        </w:rPr>
        <w:t>为必填项，要求如实填写</w:t>
      </w:r>
      <w:r>
        <w:rPr>
          <w:rFonts w:hint="eastAsia"/>
          <w:sz w:val="24"/>
          <w:highlight w:val="yellow"/>
        </w:rPr>
        <w:t>；配套能力的</w:t>
      </w:r>
      <w:r>
        <w:rPr>
          <w:sz w:val="24"/>
          <w:highlight w:val="yellow"/>
        </w:rPr>
        <w:t>供货类别选择“工程建设-工程建设”；账号信息</w:t>
      </w:r>
      <w:r>
        <w:rPr>
          <w:b/>
          <w:bCs/>
          <w:sz w:val="24"/>
          <w:highlight w:val="yellow"/>
          <w:em w:val="dot"/>
        </w:rPr>
        <w:t>不允许有任何空格</w:t>
      </w:r>
      <w:r>
        <w:rPr>
          <w:sz w:val="24"/>
          <w:highlight w:val="yellow"/>
        </w:rPr>
        <w:t>且</w:t>
      </w:r>
      <w:r>
        <w:rPr>
          <w:b/>
          <w:bCs/>
          <w:sz w:val="24"/>
          <w:highlight w:val="yellow"/>
          <w:em w:val="dot"/>
        </w:rPr>
        <w:t>必须填写对公账号</w:t>
      </w:r>
      <w:r>
        <w:rPr>
          <w:sz w:val="24"/>
          <w:highlight w:val="yellow"/>
        </w:rPr>
        <w:t>（不按要求填写的将影响投标保证金退还）</w:t>
      </w:r>
      <w:r>
        <w:rPr>
          <w:sz w:val="24"/>
        </w:rPr>
        <w:t>。</w:t>
      </w:r>
    </w:p>
    <w:p>
      <w:pPr>
        <w:spacing w:line="360" w:lineRule="auto"/>
        <w:ind w:firstLine="482" w:firstLineChars="200"/>
        <w:jc w:val="left"/>
        <w:rPr>
          <w:rFonts w:ascii="宋体" w:cs="宋体"/>
          <w:b/>
          <w:bCs/>
          <w:sz w:val="24"/>
          <w:lang w:bidi="ar"/>
        </w:rPr>
      </w:pPr>
      <w:r>
        <w:rPr>
          <w:rFonts w:hint="eastAsia" w:ascii="宋体" w:cs="宋体"/>
          <w:b/>
          <w:bCs/>
          <w:sz w:val="24"/>
          <w:highlight w:val="yellow"/>
          <w:lang w:bidi="ar"/>
        </w:rPr>
        <w:t>e采通注册并</w:t>
      </w:r>
      <w:r>
        <w:rPr>
          <w:rFonts w:hint="eastAsia" w:ascii="宋体" w:cs="宋体"/>
          <w:b/>
          <w:bCs/>
          <w:sz w:val="24"/>
          <w:highlight w:val="yellow"/>
          <w:em w:val="dot"/>
          <w:lang w:bidi="ar"/>
        </w:rPr>
        <w:t>审核通过后</w:t>
      </w:r>
      <w:r>
        <w:rPr>
          <w:rFonts w:hint="eastAsia" w:ascii="宋体" w:cs="宋体"/>
          <w:b/>
          <w:bCs/>
          <w:sz w:val="24"/>
          <w:lang w:bidi="ar"/>
        </w:rPr>
        <w:t>方能参与本项目应标及后续投标，审核通过后请电话告知招标方联系人。</w:t>
      </w:r>
    </w:p>
    <w:p>
      <w:pPr>
        <w:spacing w:line="360" w:lineRule="auto"/>
        <w:ind w:firstLine="482" w:firstLineChars="200"/>
        <w:jc w:val="left"/>
        <w:rPr>
          <w:rFonts w:asciiTheme="minorEastAsia" w:hAnsiTheme="minorEastAsia" w:eastAsiaTheme="minorEastAsia" w:cstheme="minorEastAsia"/>
          <w:b/>
          <w:bCs/>
          <w:sz w:val="24"/>
          <w:em w:val="dot"/>
          <w:lang w:bidi="ar"/>
        </w:rPr>
      </w:pPr>
      <w:r>
        <w:rPr>
          <w:rFonts w:hint="eastAsia" w:asciiTheme="minorEastAsia" w:hAnsiTheme="minorEastAsia" w:eastAsiaTheme="minorEastAsia" w:cstheme="minorEastAsia"/>
          <w:b/>
          <w:bCs/>
          <w:sz w:val="24"/>
          <w:highlight w:val="yellow"/>
          <w:em w:val="dot"/>
          <w:lang w:bidi="ar"/>
        </w:rPr>
        <w:t>供应商需同时在阳光采购平台进行注册</w:t>
      </w:r>
      <w:r>
        <w:rPr>
          <w:rFonts w:hint="eastAsia" w:asciiTheme="minorEastAsia" w:hAnsiTheme="minorEastAsia" w:eastAsiaTheme="minorEastAsia" w:cstheme="minorEastAsia"/>
          <w:b/>
          <w:bCs/>
          <w:sz w:val="24"/>
          <w:em w:val="dot"/>
          <w:lang w:bidi="ar"/>
        </w:rPr>
        <w:t>，并在本公告要求的截止时间前搜索本项目报名。邮箱及阳光采购平台同时在公告截止时间前报名成功的方为线下报名成功。</w:t>
      </w:r>
      <w:r>
        <w:rPr>
          <w:rFonts w:asciiTheme="minorEastAsia" w:hAnsiTheme="minorEastAsia" w:eastAsiaTheme="minorEastAsia" w:cstheme="minorEastAsia"/>
          <w:b/>
          <w:bCs/>
          <w:sz w:val="24"/>
          <w:em w:val="dot"/>
          <w:lang w:bidi="ar"/>
        </w:rPr>
        <w:t>e</w:t>
      </w:r>
      <w:r>
        <w:rPr>
          <w:rFonts w:hint="eastAsia" w:asciiTheme="minorEastAsia" w:hAnsiTheme="minorEastAsia" w:eastAsiaTheme="minorEastAsia" w:cstheme="minorEastAsia"/>
          <w:b/>
          <w:bCs/>
          <w:sz w:val="24"/>
          <w:em w:val="dot"/>
          <w:lang w:bidi="ar"/>
        </w:rPr>
        <w:t>采通账号注册完成且应标成功的方为线上报名成功。</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w:t>
      </w:r>
      <w:r>
        <w:rPr>
          <w:rFonts w:hint="eastAsia" w:ascii="宋体" w:hAnsi="宋体" w:cs="宋体"/>
          <w:kern w:val="0"/>
          <w:sz w:val="24"/>
          <w:lang w:val="en-US" w:eastAsia="zh-CN" w:bidi="en-US"/>
        </w:rPr>
        <w:t>2</w:t>
      </w:r>
      <w:r>
        <w:rPr>
          <w:rFonts w:hint="eastAsia" w:ascii="宋体" w:hAnsi="宋体" w:cs="宋体"/>
          <w:kern w:val="0"/>
          <w:sz w:val="24"/>
          <w:lang w:bidi="en-US"/>
        </w:rPr>
        <w:t>招标文件工本费：无。</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w:t>
      </w:r>
      <w:r>
        <w:rPr>
          <w:rFonts w:hint="eastAsia" w:ascii="宋体" w:hAnsi="宋体" w:cs="宋体"/>
          <w:kern w:val="0"/>
          <w:sz w:val="24"/>
          <w:lang w:val="en-US" w:eastAsia="zh-CN" w:bidi="en-US"/>
        </w:rPr>
        <w:t>3</w:t>
      </w:r>
      <w:r>
        <w:rPr>
          <w:rFonts w:hint="eastAsia" w:ascii="宋体" w:hAnsi="宋体" w:cs="宋体"/>
          <w:kern w:val="0"/>
          <w:sz w:val="24"/>
          <w:lang w:bidi="en-US"/>
        </w:rPr>
        <w:t>投标保证金金额、形式和递交：详见招标文件。</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4.</w:t>
      </w:r>
      <w:r>
        <w:rPr>
          <w:rFonts w:hint="eastAsia" w:ascii="宋体" w:hAnsi="宋体" w:cs="宋体"/>
          <w:kern w:val="0"/>
          <w:sz w:val="24"/>
          <w:lang w:val="en-US" w:eastAsia="zh-CN" w:bidi="en-US"/>
        </w:rPr>
        <w:t>4</w:t>
      </w:r>
      <w:r>
        <w:rPr>
          <w:rFonts w:hint="eastAsia" w:ascii="宋体" w:hAnsi="宋体" w:cs="宋体"/>
          <w:kern w:val="0"/>
          <w:sz w:val="24"/>
          <w:lang w:bidi="en-US"/>
        </w:rPr>
        <w:t>中标服务费：无。</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5．投标文件的递交</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5.1 投标文件递交的截止时间：（同投标截止时间，下同）详见招标文件。</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5.2 逾期</w:t>
      </w:r>
      <w:r>
        <w:rPr>
          <w:rFonts w:hint="eastAsia" w:ascii="宋体" w:hAnsi="宋体" w:cs="宋体"/>
          <w:kern w:val="0"/>
          <w:sz w:val="24"/>
          <w:lang w:val="en-US" w:eastAsia="zh-CN" w:bidi="en-US"/>
        </w:rPr>
        <w:t>递交</w:t>
      </w:r>
      <w:r>
        <w:rPr>
          <w:rFonts w:hint="eastAsia" w:ascii="宋体" w:hAnsi="宋体" w:cs="宋体"/>
          <w:kern w:val="0"/>
          <w:sz w:val="24"/>
          <w:lang w:bidi="en-US"/>
        </w:rPr>
        <w:t>的投标文件，招标人不予受理。</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6．招标公告发布媒介</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本次公告同时在中国重型汽车集团有限公司网站上发布。</w:t>
      </w:r>
    </w:p>
    <w:p>
      <w:pPr>
        <w:widowControl/>
        <w:adjustRightInd w:val="0"/>
        <w:snapToGrid w:val="0"/>
        <w:spacing w:line="360" w:lineRule="auto"/>
        <w:jc w:val="left"/>
        <w:rPr>
          <w:rFonts w:ascii="宋体" w:hAnsi="宋体" w:cs="宋体"/>
          <w:b/>
          <w:bCs/>
          <w:kern w:val="0"/>
          <w:sz w:val="24"/>
          <w:lang w:bidi="en-US"/>
        </w:rPr>
      </w:pPr>
      <w:r>
        <w:rPr>
          <w:rFonts w:hint="eastAsia" w:ascii="宋体" w:hAnsi="宋体" w:cs="宋体"/>
          <w:b/>
          <w:bCs/>
          <w:kern w:val="0"/>
          <w:sz w:val="24"/>
          <w:lang w:bidi="en-US"/>
        </w:rPr>
        <w:t>7．联系方式</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ascii="宋体" w:hAnsi="宋体" w:cs="宋体"/>
          <w:kern w:val="0"/>
          <w:sz w:val="24"/>
          <w:lang w:bidi="en-US"/>
        </w:rPr>
        <w:t>招 标 人：中国重汽集团济南动力有限公司</w:t>
      </w:r>
    </w:p>
    <w:p>
      <w:pPr>
        <w:widowControl/>
        <w:adjustRightInd w:val="0"/>
        <w:snapToGrid w:val="0"/>
        <w:spacing w:line="360" w:lineRule="auto"/>
        <w:ind w:firstLine="480" w:firstLineChars="200"/>
        <w:jc w:val="left"/>
        <w:rPr>
          <w:rFonts w:ascii="宋体" w:hAnsi="宋体" w:cs="宋体"/>
          <w:kern w:val="0"/>
          <w:sz w:val="24"/>
          <w:lang w:bidi="en-US"/>
        </w:rPr>
      </w:pPr>
      <w:r>
        <w:rPr>
          <w:rFonts w:hint="eastAsia" w:cs="宋体"/>
          <w:kern w:val="0"/>
          <w:sz w:val="24"/>
          <w:lang w:bidi="en-US"/>
        </w:rPr>
        <w:t>地</w:t>
      </w:r>
      <w:r>
        <w:rPr>
          <w:rFonts w:cs="宋体"/>
          <w:kern w:val="0"/>
          <w:sz w:val="24"/>
          <w:lang w:bidi="en-US"/>
        </w:rPr>
        <w:t xml:space="preserve">    </w:t>
      </w:r>
      <w:r>
        <w:rPr>
          <w:rFonts w:hint="eastAsia" w:cs="宋体"/>
          <w:kern w:val="0"/>
          <w:sz w:val="24"/>
          <w:lang w:bidi="en-US"/>
        </w:rPr>
        <w:t>址：济南市高新区华奥路777号</w:t>
      </w:r>
      <w:r>
        <w:rPr>
          <w:rFonts w:ascii="宋体" w:hAnsi="宋体" w:cs="宋体"/>
          <w:kern w:val="0"/>
          <w:sz w:val="24"/>
          <w:lang w:bidi="en-US"/>
        </w:rPr>
        <w:t xml:space="preserve"> </w:t>
      </w:r>
    </w:p>
    <w:p>
      <w:pPr>
        <w:widowControl/>
        <w:adjustRightInd w:val="0"/>
        <w:snapToGrid w:val="0"/>
        <w:spacing w:line="360" w:lineRule="auto"/>
        <w:ind w:firstLine="480" w:firstLineChars="200"/>
        <w:jc w:val="left"/>
        <w:rPr>
          <w:rFonts w:hint="eastAsia" w:ascii="宋体" w:hAnsi="宋体" w:eastAsia="宋体" w:cs="宋体"/>
          <w:kern w:val="0"/>
          <w:sz w:val="24"/>
          <w:lang w:val="en-US" w:eastAsia="zh-CN" w:bidi="en-US"/>
        </w:rPr>
      </w:pPr>
      <w:r>
        <w:rPr>
          <w:rFonts w:hint="eastAsia" w:ascii="宋体" w:hAnsi="宋体" w:cs="宋体"/>
          <w:kern w:val="0"/>
          <w:sz w:val="24"/>
          <w:lang w:bidi="en-US"/>
        </w:rPr>
        <w:t>联 系 人：</w:t>
      </w:r>
      <w:r>
        <w:rPr>
          <w:rFonts w:hint="eastAsia" w:ascii="宋体" w:hAnsi="宋体" w:cs="宋体"/>
          <w:kern w:val="0"/>
          <w:sz w:val="24"/>
          <w:lang w:val="en-US" w:eastAsia="zh-CN" w:bidi="en-US"/>
        </w:rPr>
        <w:t>杨淑超</w:t>
      </w:r>
    </w:p>
    <w:p>
      <w:pPr>
        <w:widowControl/>
        <w:adjustRightInd w:val="0"/>
        <w:snapToGrid w:val="0"/>
        <w:spacing w:line="360" w:lineRule="auto"/>
        <w:ind w:firstLine="480" w:firstLineChars="200"/>
        <w:jc w:val="left"/>
        <w:rPr>
          <w:rFonts w:hint="default" w:ascii="宋体" w:hAnsi="宋体" w:eastAsia="宋体" w:cs="宋体"/>
          <w:kern w:val="0"/>
          <w:sz w:val="24"/>
          <w:lang w:val="en-US" w:eastAsia="zh-CN" w:bidi="en-US"/>
        </w:rPr>
      </w:pPr>
      <w:r>
        <w:rPr>
          <w:rFonts w:hint="eastAsia" w:ascii="宋体" w:hAnsi="宋体" w:cs="宋体"/>
          <w:kern w:val="0"/>
          <w:sz w:val="24"/>
          <w:lang w:bidi="en-US"/>
        </w:rPr>
        <w:t>电    话：</w:t>
      </w:r>
      <w:r>
        <w:rPr>
          <w:rFonts w:hint="eastAsia" w:ascii="宋体" w:hAnsi="宋体" w:cs="宋体"/>
          <w:kern w:val="0"/>
          <w:sz w:val="24"/>
          <w:lang w:val="en-US" w:eastAsia="zh-CN" w:bidi="en-US"/>
        </w:rPr>
        <w:t>17860605820</w:t>
      </w:r>
    </w:p>
    <w:p>
      <w:pPr>
        <w:widowControl/>
        <w:spacing w:line="360" w:lineRule="auto"/>
        <w:ind w:firstLine="480" w:firstLineChars="200"/>
        <w:jc w:val="right"/>
        <w:rPr>
          <w:rFonts w:ascii="宋体" w:hAnsi="宋体"/>
          <w:kern w:val="0"/>
          <w:sz w:val="24"/>
          <w:szCs w:val="21"/>
          <w:lang w:bidi="en-US"/>
        </w:rPr>
      </w:pPr>
      <w:r>
        <w:rPr>
          <w:rFonts w:hint="eastAsia" w:ascii="宋体" w:hAnsi="宋体"/>
          <w:kern w:val="0"/>
          <w:sz w:val="24"/>
          <w:szCs w:val="21"/>
          <w:lang w:bidi="en-US"/>
        </w:rPr>
        <w:t>202</w:t>
      </w:r>
      <w:r>
        <w:rPr>
          <w:rFonts w:ascii="宋体" w:hAnsi="宋体"/>
          <w:kern w:val="0"/>
          <w:sz w:val="24"/>
          <w:szCs w:val="21"/>
          <w:lang w:bidi="en-US"/>
        </w:rPr>
        <w:t>5</w:t>
      </w:r>
      <w:r>
        <w:rPr>
          <w:rFonts w:hint="eastAsia" w:ascii="宋体" w:hAnsi="宋体"/>
          <w:kern w:val="0"/>
          <w:sz w:val="24"/>
          <w:szCs w:val="21"/>
          <w:lang w:bidi="en-US"/>
        </w:rPr>
        <w:t>年</w:t>
      </w:r>
      <w:r>
        <w:rPr>
          <w:rFonts w:ascii="宋体" w:hAnsi="宋体" w:cs="宋体"/>
          <w:kern w:val="0"/>
          <w:sz w:val="24"/>
          <w:lang w:bidi="en-US"/>
        </w:rPr>
        <w:t xml:space="preserve"> </w:t>
      </w:r>
      <w:r>
        <w:rPr>
          <w:rFonts w:hint="eastAsia" w:ascii="宋体" w:hAnsi="宋体" w:cs="宋体"/>
          <w:kern w:val="0"/>
          <w:sz w:val="24"/>
          <w:lang w:val="en-US" w:eastAsia="zh-CN" w:bidi="en-US"/>
        </w:rPr>
        <w:t>10</w:t>
      </w:r>
      <w:r>
        <w:rPr>
          <w:rFonts w:hint="eastAsia" w:ascii="宋体" w:hAnsi="宋体"/>
          <w:kern w:val="0"/>
          <w:sz w:val="24"/>
          <w:szCs w:val="21"/>
          <w:lang w:bidi="en-US"/>
        </w:rPr>
        <w:t>月</w:t>
      </w:r>
      <w:r>
        <w:rPr>
          <w:rFonts w:ascii="宋体" w:hAnsi="宋体" w:cs="宋体"/>
          <w:kern w:val="0"/>
          <w:sz w:val="24"/>
          <w:lang w:bidi="en-US"/>
        </w:rPr>
        <w:t xml:space="preserve"> </w:t>
      </w:r>
      <w:r>
        <w:rPr>
          <w:rFonts w:hint="eastAsia" w:ascii="宋体" w:hAnsi="宋体" w:cs="宋体"/>
          <w:kern w:val="0"/>
          <w:sz w:val="24"/>
          <w:lang w:val="en-US" w:eastAsia="zh-CN" w:bidi="en-US"/>
        </w:rPr>
        <w:t>17</w:t>
      </w:r>
      <w:r>
        <w:rPr>
          <w:rFonts w:hint="eastAsia" w:ascii="宋体" w:hAnsi="宋体"/>
          <w:kern w:val="0"/>
          <w:sz w:val="24"/>
          <w:szCs w:val="21"/>
          <w:lang w:bidi="en-US"/>
        </w:rPr>
        <w:t>日</w:t>
      </w:r>
    </w:p>
    <w:p>
      <w:pPr>
        <w:widowControl/>
        <w:spacing w:line="360" w:lineRule="auto"/>
        <w:ind w:firstLine="480" w:firstLineChars="200"/>
        <w:jc w:val="left"/>
        <w:rPr>
          <w:rFonts w:ascii="宋体" w:hAnsi="宋体"/>
          <w:kern w:val="0"/>
          <w:sz w:val="24"/>
          <w:szCs w:val="21"/>
          <w:lang w:bidi="en-US"/>
        </w:rPr>
      </w:pPr>
    </w:p>
    <w:p>
      <w:pPr>
        <w:widowControl/>
        <w:spacing w:line="500" w:lineRule="exact"/>
        <w:jc w:val="left"/>
        <w:rPr>
          <w:rFonts w:ascii="宋体" w:hAnsi="宋体"/>
          <w:kern w:val="0"/>
          <w:sz w:val="24"/>
          <w:szCs w:val="21"/>
          <w:lang w:bidi="en-US"/>
        </w:rPr>
      </w:pPr>
      <w:r>
        <w:rPr>
          <w:rFonts w:ascii="宋体" w:hAnsi="宋体"/>
          <w:kern w:val="0"/>
          <w:sz w:val="24"/>
          <w:szCs w:val="21"/>
          <w:lang w:bidi="en-US"/>
        </w:rPr>
        <w:br w:type="page"/>
      </w:r>
    </w:p>
    <w:p>
      <w:pPr>
        <w:pStyle w:val="8"/>
        <w:bidi w:val="0"/>
      </w:pPr>
      <w:r>
        <w:rPr>
          <w:rFonts w:hint="eastAsia"/>
        </w:rPr>
        <w:t>附件</w:t>
      </w:r>
      <w:r>
        <w:t>1</w:t>
      </w:r>
      <w:r>
        <w:rPr>
          <w:rFonts w:hint="eastAsia"/>
        </w:rPr>
        <w:t>：投标信息明细表</w:t>
      </w:r>
    </w:p>
    <w:tbl>
      <w:tblPr>
        <w:tblStyle w:val="37"/>
        <w:tblW w:w="5000" w:type="pct"/>
        <w:tblInd w:w="0" w:type="dxa"/>
        <w:tblLayout w:type="autofit"/>
        <w:tblCellMar>
          <w:top w:w="0" w:type="dxa"/>
          <w:left w:w="108" w:type="dxa"/>
          <w:bottom w:w="0" w:type="dxa"/>
          <w:right w:w="108" w:type="dxa"/>
        </w:tblCellMar>
      </w:tblPr>
      <w:tblGrid>
        <w:gridCol w:w="416"/>
        <w:gridCol w:w="1006"/>
        <w:gridCol w:w="416"/>
        <w:gridCol w:w="439"/>
        <w:gridCol w:w="796"/>
        <w:gridCol w:w="845"/>
        <w:gridCol w:w="707"/>
        <w:gridCol w:w="559"/>
        <w:gridCol w:w="531"/>
        <w:gridCol w:w="482"/>
        <w:gridCol w:w="482"/>
        <w:gridCol w:w="816"/>
        <w:gridCol w:w="589"/>
        <w:gridCol w:w="501"/>
        <w:gridCol w:w="589"/>
        <w:gridCol w:w="473"/>
        <w:gridCol w:w="590"/>
        <w:gridCol w:w="445"/>
      </w:tblGrid>
      <w:tr>
        <w:tblPrEx>
          <w:tblCellMar>
            <w:top w:w="0" w:type="dxa"/>
            <w:left w:w="108" w:type="dxa"/>
            <w:bottom w:w="0" w:type="dxa"/>
            <w:right w:w="108" w:type="dxa"/>
          </w:tblCellMar>
        </w:tblPrEx>
        <w:trPr>
          <w:trHeight w:val="285" w:hRule="atLeast"/>
        </w:trPr>
        <w:tc>
          <w:tcPr>
            <w:tcW w:w="15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序</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号</w:t>
            </w:r>
          </w:p>
        </w:tc>
        <w:tc>
          <w:tcPr>
            <w:tcW w:w="48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单位名称</w:t>
            </w:r>
          </w:p>
        </w:tc>
        <w:tc>
          <w:tcPr>
            <w:tcW w:w="194"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地区</w:t>
            </w:r>
          </w:p>
        </w:tc>
        <w:tc>
          <w:tcPr>
            <w:tcW w:w="21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联系人</w:t>
            </w:r>
          </w:p>
        </w:tc>
        <w:tc>
          <w:tcPr>
            <w:tcW w:w="383"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联系方式</w:t>
            </w:r>
          </w:p>
        </w:tc>
        <w:tc>
          <w:tcPr>
            <w:tcW w:w="40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FF0000"/>
                <w:kern w:val="0"/>
                <w:sz w:val="20"/>
                <w:szCs w:val="20"/>
                <w:lang w:bidi="ar"/>
              </w:rPr>
            </w:pPr>
            <w:r>
              <w:rPr>
                <w:rFonts w:hint="eastAsia" w:ascii="宋体" w:hAnsi="宋体" w:cs="宋体"/>
                <w:color w:val="FF0000"/>
                <w:kern w:val="0"/>
                <w:sz w:val="20"/>
                <w:szCs w:val="20"/>
                <w:lang w:bidi="ar"/>
              </w:rPr>
              <w:t>唯一指定</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邮箱</w:t>
            </w:r>
          </w:p>
        </w:tc>
        <w:tc>
          <w:tcPr>
            <w:tcW w:w="341"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注册资金</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（≥500万）</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注册时间</w:t>
            </w:r>
          </w:p>
        </w:tc>
        <w:tc>
          <w:tcPr>
            <w:tcW w:w="259"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企业性质</w:t>
            </w:r>
          </w:p>
        </w:tc>
        <w:tc>
          <w:tcPr>
            <w:tcW w:w="236" w:type="pct"/>
            <w:vMerge w:val="restart"/>
            <w:tcBorders>
              <w:top w:val="single" w:color="000000" w:sz="4" w:space="0"/>
              <w:left w:val="single" w:color="000000" w:sz="4" w:space="0"/>
              <w:right w:val="single" w:color="000000" w:sz="4" w:space="0"/>
            </w:tcBorders>
            <w:shd w:val="clear" w:color="auto" w:fill="FFFFFF"/>
          </w:tcPr>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施工总承包资质</w:t>
            </w:r>
          </w:p>
        </w:tc>
        <w:tc>
          <w:tcPr>
            <w:tcW w:w="236"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项目经理</w:t>
            </w:r>
          </w:p>
        </w:tc>
        <w:tc>
          <w:tcPr>
            <w:tcW w:w="272" w:type="pct"/>
            <w:vMerge w:val="restar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类似</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业绩</w:t>
            </w:r>
          </w:p>
          <w:p>
            <w:pPr>
              <w:widowControl/>
              <w:jc w:val="center"/>
              <w:textAlignment w:val="center"/>
              <w:rPr>
                <w:rFonts w:ascii="宋体" w:hAnsi="宋体" w:cs="宋体"/>
                <w:color w:val="000000"/>
                <w:kern w:val="0"/>
                <w:sz w:val="20"/>
                <w:szCs w:val="20"/>
                <w:lang w:bidi="ar"/>
              </w:rPr>
            </w:pPr>
            <w:r>
              <w:rPr>
                <w:rFonts w:hint="eastAsia" w:ascii="宋体" w:hAnsi="宋体" w:cs="宋体"/>
                <w:color w:val="000000"/>
                <w:kern w:val="0"/>
                <w:sz w:val="20"/>
                <w:szCs w:val="20"/>
                <w:lang w:bidi="ar"/>
              </w:rPr>
              <w:t>数量</w:t>
            </w:r>
          </w:p>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（项）</w:t>
            </w:r>
          </w:p>
        </w:tc>
        <w:tc>
          <w:tcPr>
            <w:tcW w:w="531"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2</w:t>
            </w:r>
            <w:r>
              <w:rPr>
                <w:rFonts w:hint="eastAsia" w:ascii="宋体" w:hAnsi="宋体" w:cs="宋体"/>
                <w:color w:val="000000"/>
                <w:kern w:val="0"/>
                <w:sz w:val="20"/>
                <w:szCs w:val="20"/>
                <w:lang w:bidi="ar"/>
              </w:rPr>
              <w:t>年</w:t>
            </w:r>
          </w:p>
        </w:tc>
        <w:tc>
          <w:tcPr>
            <w:tcW w:w="517"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3</w:t>
            </w:r>
            <w:r>
              <w:rPr>
                <w:rFonts w:hint="eastAsia" w:ascii="宋体" w:hAnsi="宋体" w:cs="宋体"/>
                <w:color w:val="000000"/>
                <w:kern w:val="0"/>
                <w:sz w:val="20"/>
                <w:szCs w:val="20"/>
                <w:lang w:bidi="ar"/>
              </w:rPr>
              <w:t>年</w:t>
            </w:r>
          </w:p>
        </w:tc>
        <w:tc>
          <w:tcPr>
            <w:tcW w:w="504" w:type="pct"/>
            <w:gridSpan w:val="2"/>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202</w:t>
            </w:r>
            <w:r>
              <w:rPr>
                <w:rFonts w:ascii="宋体" w:hAnsi="宋体" w:cs="宋体"/>
                <w:color w:val="000000"/>
                <w:kern w:val="0"/>
                <w:sz w:val="20"/>
                <w:szCs w:val="20"/>
                <w:lang w:bidi="ar"/>
              </w:rPr>
              <w:t>4</w:t>
            </w:r>
            <w:r>
              <w:rPr>
                <w:rFonts w:hint="eastAsia" w:ascii="宋体" w:hAnsi="宋体" w:cs="宋体"/>
                <w:color w:val="000000"/>
                <w:kern w:val="0"/>
                <w:sz w:val="20"/>
                <w:szCs w:val="20"/>
                <w:lang w:bidi="ar"/>
              </w:rPr>
              <w:t>年</w:t>
            </w:r>
          </w:p>
        </w:tc>
      </w:tr>
      <w:tr>
        <w:tblPrEx>
          <w:tblCellMar>
            <w:top w:w="0" w:type="dxa"/>
            <w:left w:w="108" w:type="dxa"/>
            <w:bottom w:w="0" w:type="dxa"/>
            <w:right w:w="108" w:type="dxa"/>
          </w:tblCellMar>
        </w:tblPrEx>
        <w:trPr>
          <w:trHeight w:val="480" w:hRule="atLeast"/>
        </w:trPr>
        <w:tc>
          <w:tcPr>
            <w:tcW w:w="15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48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194"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1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40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341"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59"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36" w:type="pct"/>
            <w:vMerge w:val="continue"/>
            <w:tcBorders>
              <w:left w:val="single" w:color="000000" w:sz="4" w:space="0"/>
              <w:bottom w:val="single" w:color="000000" w:sz="4" w:space="0"/>
              <w:right w:val="single" w:color="000000" w:sz="4" w:space="0"/>
            </w:tcBorders>
            <w:shd w:val="clear" w:color="auto" w:fill="FFFFFF"/>
          </w:tcPr>
          <w:p>
            <w:pPr>
              <w:rPr>
                <w:sz w:val="20"/>
                <w:szCs w:val="20"/>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72" w:type="pct"/>
            <w:vMerge w:val="continue"/>
            <w:tcBorders>
              <w:top w:val="single" w:color="000000" w:sz="4" w:space="0"/>
              <w:left w:val="single" w:color="000000" w:sz="4" w:space="0"/>
              <w:bottom w:val="single" w:color="000000" w:sz="4" w:space="0"/>
              <w:right w:val="single" w:color="000000" w:sz="4" w:space="0"/>
            </w:tcBorders>
            <w:shd w:val="clear" w:color="auto" w:fill="FFFFFF"/>
            <w:vAlign w:val="center"/>
          </w:tcPr>
          <w:p>
            <w:pPr>
              <w:rPr>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31"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营收</w:t>
            </w:r>
            <w:r>
              <w:rPr>
                <w:rFonts w:hint="eastAsia" w:ascii="宋体" w:hAnsi="宋体" w:cs="宋体"/>
                <w:color w:val="000000"/>
                <w:kern w:val="0"/>
                <w:sz w:val="20"/>
                <w:szCs w:val="20"/>
                <w:lang w:bidi="ar"/>
              </w:rPr>
              <w:br w:type="textWrapping"/>
            </w:r>
            <w:r>
              <w:rPr>
                <w:rFonts w:hint="eastAsia" w:ascii="宋体" w:hAnsi="宋体" w:cs="宋体"/>
                <w:color w:val="000000"/>
                <w:kern w:val="0"/>
                <w:sz w:val="20"/>
                <w:szCs w:val="20"/>
                <w:lang w:bidi="ar"/>
              </w:rPr>
              <w:t>/万元</w:t>
            </w:r>
          </w:p>
        </w:tc>
        <w:tc>
          <w:tcPr>
            <w:tcW w:w="218" w:type="pct"/>
            <w:tcBorders>
              <w:top w:val="single" w:color="000000" w:sz="4" w:space="0"/>
              <w:left w:val="single" w:color="000000" w:sz="4" w:space="0"/>
              <w:bottom w:val="single" w:color="000000" w:sz="4" w:space="0"/>
              <w:right w:val="single" w:color="000000" w:sz="4" w:space="0"/>
            </w:tcBorders>
            <w:shd w:val="clear" w:color="auto" w:fill="FFFFFF"/>
            <w:vAlign w:val="center"/>
          </w:tcPr>
          <w:p>
            <w:pPr>
              <w:widowControl/>
              <w:jc w:val="center"/>
              <w:textAlignment w:val="center"/>
              <w:rPr>
                <w:rFonts w:ascii="宋体" w:hAnsi="宋体" w:cs="宋体"/>
                <w:color w:val="000000"/>
                <w:sz w:val="20"/>
                <w:szCs w:val="20"/>
              </w:rPr>
            </w:pPr>
            <w:r>
              <w:rPr>
                <w:rFonts w:hint="eastAsia" w:ascii="宋体" w:hAnsi="宋体" w:cs="宋体"/>
                <w:color w:val="000000"/>
                <w:kern w:val="0"/>
                <w:sz w:val="20"/>
                <w:szCs w:val="20"/>
                <w:lang w:bidi="ar"/>
              </w:rPr>
              <w:t>资产负债率</w:t>
            </w:r>
          </w:p>
        </w:tc>
      </w:tr>
      <w:tr>
        <w:tblPrEx>
          <w:tblCellMar>
            <w:top w:w="0" w:type="dxa"/>
            <w:left w:w="108" w:type="dxa"/>
            <w:bottom w:w="0" w:type="dxa"/>
            <w:right w:w="108" w:type="dxa"/>
          </w:tblCellMar>
        </w:tblPrEx>
        <w:trPr>
          <w:trHeight w:val="64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r>
        <w:tblPrEx>
          <w:tblCellMar>
            <w:top w:w="0" w:type="dxa"/>
            <w:left w:w="108" w:type="dxa"/>
            <w:bottom w:w="0" w:type="dxa"/>
            <w:right w:w="108" w:type="dxa"/>
          </w:tblCellMar>
        </w:tblPrEx>
        <w:trPr>
          <w:trHeight w:val="694"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r>
        <w:tblPrEx>
          <w:tblCellMar>
            <w:top w:w="0" w:type="dxa"/>
            <w:left w:w="108" w:type="dxa"/>
            <w:bottom w:w="0" w:type="dxa"/>
            <w:right w:w="108" w:type="dxa"/>
          </w:tblCellMar>
        </w:tblPrEx>
        <w:trPr>
          <w:trHeight w:val="719" w:hRule="atLeast"/>
        </w:trPr>
        <w:tc>
          <w:tcPr>
            <w:tcW w:w="15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81" w:type="pct"/>
            <w:tcBorders>
              <w:top w:val="single" w:color="000000" w:sz="4" w:space="0"/>
              <w:left w:val="single" w:color="000000" w:sz="4" w:space="0"/>
              <w:bottom w:val="single" w:color="000000" w:sz="4" w:space="0"/>
              <w:right w:val="single" w:color="000000" w:sz="4" w:space="0"/>
            </w:tcBorders>
            <w:shd w:val="clear" w:color="auto" w:fill="FFFFFF"/>
            <w:vAlign w:val="center"/>
          </w:tcPr>
          <w:p>
            <w:pPr>
              <w:rPr>
                <w:rFonts w:ascii="宋体" w:hAnsi="宋体" w:cs="宋体"/>
                <w:color w:val="000000"/>
                <w:sz w:val="20"/>
                <w:szCs w:val="20"/>
              </w:rPr>
            </w:pPr>
          </w:p>
        </w:tc>
        <w:tc>
          <w:tcPr>
            <w:tcW w:w="194"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83"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40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341"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59"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left"/>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p>
        </w:tc>
        <w:tc>
          <w:tcPr>
            <w:tcW w:w="23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72"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45"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31"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c>
          <w:tcPr>
            <w:tcW w:w="286" w:type="pct"/>
            <w:tcBorders>
              <w:top w:val="single" w:color="000000" w:sz="4" w:space="0"/>
              <w:left w:val="single" w:color="000000" w:sz="4" w:space="0"/>
              <w:bottom w:val="single" w:color="000000" w:sz="4" w:space="0"/>
              <w:right w:val="single" w:color="000000" w:sz="4" w:space="0"/>
            </w:tcBorders>
            <w:shd w:val="clear" w:color="auto" w:fill="FFFFFF"/>
            <w:vAlign w:val="center"/>
          </w:tcPr>
          <w:p>
            <w:pPr>
              <w:jc w:val="center"/>
              <w:rPr>
                <w:rFonts w:ascii="宋体" w:hAnsi="宋体" w:cs="宋体"/>
                <w:color w:val="000000"/>
                <w:sz w:val="20"/>
                <w:szCs w:val="20"/>
              </w:rPr>
            </w:pPr>
          </w:p>
        </w:tc>
        <w:tc>
          <w:tcPr>
            <w:tcW w:w="218" w:type="pct"/>
            <w:tcBorders>
              <w:top w:val="single" w:color="000000" w:sz="4" w:space="0"/>
              <w:left w:val="single" w:color="000000" w:sz="4" w:space="0"/>
              <w:bottom w:val="single" w:color="000000" w:sz="4" w:space="0"/>
              <w:right w:val="single" w:color="000000" w:sz="4" w:space="0"/>
            </w:tcBorders>
            <w:shd w:val="clear" w:color="auto" w:fill="FFFFFF"/>
          </w:tcPr>
          <w:p>
            <w:pPr>
              <w:jc w:val="center"/>
              <w:rPr>
                <w:rFonts w:ascii="宋体" w:hAnsi="宋体" w:cs="宋体"/>
                <w:color w:val="000000"/>
                <w:sz w:val="20"/>
                <w:szCs w:val="20"/>
              </w:rPr>
            </w:pPr>
            <w:r>
              <w:rPr>
                <w:rFonts w:hint="eastAsia" w:ascii="宋体" w:hAnsi="宋体" w:cs="宋体"/>
                <w:color w:val="000000"/>
                <w:sz w:val="20"/>
                <w:szCs w:val="20"/>
              </w:rPr>
              <w:t>%</w:t>
            </w:r>
          </w:p>
        </w:tc>
      </w:tr>
    </w:tbl>
    <w:p>
      <w:pPr>
        <w:rPr>
          <w:rFonts w:ascii="宋体" w:hAnsi="宋体"/>
          <w:kern w:val="0"/>
          <w:sz w:val="24"/>
          <w:szCs w:val="21"/>
          <w:lang w:bidi="en-US"/>
        </w:rPr>
      </w:pPr>
    </w:p>
    <w:p>
      <w:pPr>
        <w:autoSpaceDE w:val="0"/>
        <w:autoSpaceDN w:val="0"/>
        <w:adjustRightInd w:val="0"/>
        <w:snapToGrid w:val="0"/>
        <w:spacing w:line="420" w:lineRule="exact"/>
        <w:jc w:val="left"/>
        <w:rPr>
          <w:rFonts w:ascii="宋体" w:cs="宋体"/>
          <w:b/>
          <w:bCs/>
          <w:sz w:val="24"/>
          <w:lang w:bidi="ar"/>
        </w:rPr>
      </w:pPr>
      <w:r>
        <w:rPr>
          <w:rFonts w:hint="eastAsia" w:ascii="宋体" w:cs="宋体"/>
          <w:b/>
          <w:bCs/>
          <w:sz w:val="24"/>
          <w:lang w:bidi="ar"/>
        </w:rPr>
        <w:t>注意：数据依据为报名单位提供的</w:t>
      </w:r>
      <w:r>
        <w:rPr>
          <w:rFonts w:hint="eastAsia" w:ascii="宋体" w:cs="宋体"/>
          <w:b/>
          <w:bCs/>
          <w:sz w:val="24"/>
          <w:em w:val="dot"/>
          <w:lang w:bidi="ar"/>
        </w:rPr>
        <w:t>近三年财务审计报告数据</w:t>
      </w:r>
      <w:r>
        <w:rPr>
          <w:rFonts w:hint="eastAsia" w:ascii="宋体" w:cs="宋体"/>
          <w:b/>
          <w:bCs/>
          <w:sz w:val="24"/>
          <w:lang w:bidi="ar"/>
        </w:rPr>
        <w:t>，各报名单位务必确保数据真实及填写格式准确，如有不实之处一经核实将取消报名资格，</w:t>
      </w:r>
      <w:r>
        <w:rPr>
          <w:rFonts w:hint="eastAsia" w:ascii="宋体" w:cs="宋体"/>
          <w:b/>
          <w:bCs/>
          <w:sz w:val="24"/>
          <w:highlight w:val="yellow"/>
          <w:lang w:bidi="ar"/>
        </w:rPr>
        <w:t>e采通注册时未填报财务数据的，将无法提交应标资料并无法参加投标，请及时补充资料，详见后附说明</w:t>
      </w:r>
      <w:r>
        <w:rPr>
          <w:rFonts w:hint="eastAsia" w:ascii="宋体" w:cs="宋体"/>
          <w:b/>
          <w:bCs/>
          <w:sz w:val="24"/>
          <w:lang w:bidi="ar"/>
        </w:rPr>
        <w:t>。</w:t>
      </w:r>
    </w:p>
    <w:p>
      <w:pPr>
        <w:rPr>
          <w:rFonts w:ascii="宋体" w:hAnsi="宋体"/>
          <w:kern w:val="0"/>
          <w:sz w:val="24"/>
          <w:szCs w:val="21"/>
          <w:lang w:bidi="en-US"/>
        </w:rPr>
      </w:pPr>
      <w:r>
        <w:rPr>
          <w:rFonts w:ascii="宋体" w:hAnsi="宋体"/>
          <w:kern w:val="0"/>
          <w:sz w:val="24"/>
          <w:szCs w:val="21"/>
          <w:lang w:bidi="en-US"/>
        </w:rPr>
        <w:br w:type="page"/>
      </w:r>
    </w:p>
    <w:p>
      <w:pPr>
        <w:pStyle w:val="8"/>
        <w:bidi w:val="0"/>
      </w:pPr>
      <w:r>
        <w:rPr>
          <w:rFonts w:hint="eastAsia"/>
        </w:rPr>
        <w:t>附件2:工业项目</w:t>
      </w:r>
      <w:r>
        <w:t>业绩</w:t>
      </w:r>
      <w:r>
        <w:rPr>
          <w:rFonts w:hint="eastAsia"/>
        </w:rPr>
        <w:t>列表</w:t>
      </w:r>
    </w:p>
    <w:tbl>
      <w:tblPr>
        <w:tblStyle w:val="37"/>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2"/>
        <w:gridCol w:w="2090"/>
        <w:gridCol w:w="1049"/>
        <w:gridCol w:w="1049"/>
        <w:gridCol w:w="1674"/>
        <w:gridCol w:w="1674"/>
        <w:gridCol w:w="1257"/>
        <w:gridCol w:w="12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5000" w:type="pct"/>
            <w:gridSpan w:val="8"/>
            <w:tcBorders>
              <w:top w:val="single" w:color="auto" w:sz="4" w:space="0"/>
              <w:left w:val="single" w:color="auto" w:sz="4" w:space="0"/>
              <w:bottom w:val="single" w:color="auto" w:sz="4" w:space="0"/>
              <w:right w:val="single" w:color="auto" w:sz="4" w:space="0"/>
            </w:tcBorders>
            <w:noWrap/>
          </w:tcPr>
          <w:p>
            <w:pPr>
              <w:autoSpaceDE w:val="0"/>
              <w:autoSpaceDN w:val="0"/>
              <w:jc w:val="center"/>
              <w:rPr>
                <w:b/>
                <w:bCs/>
                <w:sz w:val="30"/>
                <w:szCs w:val="30"/>
              </w:rPr>
            </w:pPr>
            <w:r>
              <w:rPr>
                <w:rFonts w:hint="eastAsia"/>
                <w:b/>
                <w:bCs/>
                <w:sz w:val="28"/>
                <w:szCs w:val="28"/>
              </w:rPr>
              <w:t>近三年</w:t>
            </w:r>
            <w:r>
              <w:rPr>
                <w:rFonts w:hint="eastAsia"/>
                <w:b/>
                <w:bCs/>
                <w:sz w:val="28"/>
                <w:szCs w:val="28"/>
                <w:u w:val="single"/>
              </w:rPr>
              <w:t xml:space="preserve">   </w:t>
            </w:r>
            <w:r>
              <w:rPr>
                <w:rFonts w:hint="eastAsia"/>
                <w:b/>
                <w:bCs/>
                <w:sz w:val="28"/>
                <w:szCs w:val="28"/>
              </w:rPr>
              <w:t>万元及以上的类似工业项目</w:t>
            </w:r>
            <w:r>
              <w:rPr>
                <w:b/>
                <w:bCs/>
                <w:sz w:val="28"/>
                <w:szCs w:val="28"/>
              </w:rPr>
              <w:t>业绩</w:t>
            </w:r>
            <w:r>
              <w:rPr>
                <w:rFonts w:hint="eastAsia"/>
                <w:b/>
                <w:bCs/>
                <w:sz w:val="28"/>
                <w:szCs w:val="28"/>
              </w:rPr>
              <w:t>列表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59"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序号</w:t>
            </w:r>
          </w:p>
        </w:tc>
        <w:tc>
          <w:tcPr>
            <w:tcW w:w="69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项目/合同</w:t>
            </w:r>
          </w:p>
          <w:p>
            <w:pPr>
              <w:autoSpaceDE w:val="0"/>
              <w:autoSpaceDN w:val="0"/>
              <w:jc w:val="center"/>
              <w:rPr>
                <w:sz w:val="24"/>
              </w:rPr>
            </w:pPr>
            <w:r>
              <w:rPr>
                <w:rFonts w:hint="eastAsia"/>
                <w:sz w:val="24"/>
              </w:rPr>
              <w:t>名称</w:t>
            </w:r>
          </w:p>
        </w:tc>
        <w:tc>
          <w:tcPr>
            <w:tcW w:w="736"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项目地点</w:t>
            </w:r>
          </w:p>
        </w:tc>
        <w:tc>
          <w:tcPr>
            <w:tcW w:w="699"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工程规模</w:t>
            </w:r>
          </w:p>
        </w:tc>
        <w:tc>
          <w:tcPr>
            <w:tcW w:w="698"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施工内容及范围</w:t>
            </w:r>
          </w:p>
        </w:tc>
        <w:tc>
          <w:tcPr>
            <w:tcW w:w="591"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合同额（万元）</w:t>
            </w:r>
          </w:p>
        </w:tc>
        <w:tc>
          <w:tcPr>
            <w:tcW w:w="681"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项目负责人</w:t>
            </w:r>
          </w:p>
        </w:tc>
        <w:tc>
          <w:tcPr>
            <w:tcW w:w="522"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是否已竣工</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1</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2</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3</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jc w:val="center"/>
        </w:trPr>
        <w:tc>
          <w:tcPr>
            <w:tcW w:w="377" w:type="pct"/>
            <w:tcBorders>
              <w:top w:val="single" w:color="auto" w:sz="4" w:space="0"/>
              <w:left w:val="single" w:color="auto" w:sz="4" w:space="0"/>
              <w:bottom w:val="single" w:color="auto" w:sz="4" w:space="0"/>
              <w:right w:val="single" w:color="auto" w:sz="4" w:space="0"/>
            </w:tcBorders>
            <w:noWrap/>
            <w:vAlign w:val="center"/>
          </w:tcPr>
          <w:p>
            <w:pPr>
              <w:autoSpaceDE w:val="0"/>
              <w:autoSpaceDN w:val="0"/>
              <w:jc w:val="center"/>
              <w:rPr>
                <w:sz w:val="24"/>
              </w:rPr>
            </w:pPr>
            <w:r>
              <w:rPr>
                <w:rFonts w:hint="eastAsia"/>
                <w:sz w:val="24"/>
              </w:rPr>
              <w:t>4</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jc w:val="center"/>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4" w:hRule="atLeast"/>
          <w:jc w:val="center"/>
        </w:trPr>
        <w:tc>
          <w:tcPr>
            <w:tcW w:w="37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r>
              <w:rPr>
                <w:rFonts w:hint="eastAsia"/>
                <w:sz w:val="24"/>
              </w:rPr>
              <w:t>......</w:t>
            </w:r>
          </w:p>
        </w:tc>
        <w:tc>
          <w:tcPr>
            <w:tcW w:w="69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2" w:hRule="atLeast"/>
          <w:jc w:val="center"/>
        </w:trPr>
        <w:tc>
          <w:tcPr>
            <w:tcW w:w="377"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7" w:type="pct"/>
            <w:tcBorders>
              <w:top w:val="single" w:color="auto" w:sz="4" w:space="0"/>
              <w:left w:val="single" w:color="auto" w:sz="4" w:space="0"/>
              <w:bottom w:val="single" w:color="auto" w:sz="4" w:space="0"/>
              <w:right w:val="single" w:color="auto" w:sz="4" w:space="0"/>
            </w:tcBorders>
            <w:noWrap/>
            <w:vAlign w:val="center"/>
          </w:tcPr>
          <w:p>
            <w:pPr>
              <w:autoSpaceDE w:val="0"/>
              <w:autoSpaceDN w:val="0"/>
              <w:rPr>
                <w:sz w:val="24"/>
              </w:rPr>
            </w:pPr>
            <w:r>
              <w:rPr>
                <w:rFonts w:hint="eastAsia"/>
                <w:sz w:val="24"/>
              </w:rPr>
              <w:t>数量不限，能报尽报</w:t>
            </w:r>
          </w:p>
        </w:tc>
        <w:tc>
          <w:tcPr>
            <w:tcW w:w="736"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9"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98"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9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681"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c>
          <w:tcPr>
            <w:tcW w:w="522" w:type="pct"/>
            <w:tcBorders>
              <w:top w:val="single" w:color="auto" w:sz="4" w:space="0"/>
              <w:left w:val="single" w:color="auto" w:sz="4" w:space="0"/>
              <w:bottom w:val="single" w:color="auto" w:sz="4" w:space="0"/>
              <w:right w:val="single" w:color="auto" w:sz="4" w:space="0"/>
            </w:tcBorders>
            <w:noWrap/>
          </w:tcPr>
          <w:p>
            <w:pPr>
              <w:autoSpaceDE w:val="0"/>
              <w:autoSpaceDN w:val="0"/>
              <w:rPr>
                <w:sz w:val="24"/>
              </w:rPr>
            </w:pPr>
          </w:p>
        </w:tc>
      </w:tr>
    </w:tbl>
    <w:p>
      <w:pPr>
        <w:rPr>
          <w:rFonts w:ascii="宋体" w:hAnsi="宋体"/>
          <w:kern w:val="0"/>
          <w:sz w:val="24"/>
          <w:szCs w:val="21"/>
          <w:lang w:bidi="en-US"/>
        </w:rPr>
      </w:pPr>
    </w:p>
    <w:p>
      <w:pPr>
        <w:autoSpaceDE w:val="0"/>
        <w:autoSpaceDN w:val="0"/>
        <w:rPr>
          <w:sz w:val="30"/>
          <w:szCs w:val="30"/>
        </w:rPr>
      </w:pPr>
      <w:bookmarkStart w:id="18" w:name="_Toc136871075"/>
      <w:r>
        <w:rPr>
          <w:sz w:val="30"/>
          <w:szCs w:val="30"/>
        </w:rPr>
        <w:br w:type="page"/>
      </w:r>
    </w:p>
    <w:p>
      <w:pPr>
        <w:pStyle w:val="8"/>
        <w:bidi w:val="0"/>
      </w:pPr>
      <w:r>
        <w:rPr>
          <w:rFonts w:hint="eastAsia"/>
        </w:rPr>
        <w:t>附件</w:t>
      </w:r>
      <w:r>
        <w:t>3</w:t>
      </w:r>
      <w:r>
        <w:rPr>
          <w:rFonts w:hint="eastAsia"/>
        </w:rPr>
        <w:t>法人授权委托书</w:t>
      </w:r>
    </w:p>
    <w:p>
      <w:pPr>
        <w:rPr>
          <w:rFonts w:ascii="宋体"/>
          <w:sz w:val="28"/>
          <w:szCs w:val="28"/>
        </w:rPr>
      </w:pPr>
    </w:p>
    <w:bookmarkEnd w:id="18"/>
    <w:p>
      <w:pPr>
        <w:spacing w:line="360" w:lineRule="auto"/>
        <w:jc w:val="center"/>
        <w:rPr>
          <w:rFonts w:ascii="宋体" w:hAnsi="宋体"/>
          <w:b/>
          <w:sz w:val="32"/>
          <w:szCs w:val="32"/>
        </w:rPr>
      </w:pPr>
      <w:r>
        <w:rPr>
          <w:rFonts w:hint="eastAsia" w:ascii="宋体" w:hAnsi="宋体"/>
          <w:b/>
          <w:sz w:val="32"/>
          <w:szCs w:val="32"/>
        </w:rPr>
        <w:t>法人授权委托书</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u w:val="single"/>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7"/>
        <w:tblW w:w="5000" w:type="pct"/>
        <w:tblInd w:w="0"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autofit"/>
        <w:tblCellMar>
          <w:top w:w="0" w:type="dxa"/>
          <w:left w:w="108" w:type="dxa"/>
          <w:bottom w:w="0" w:type="dxa"/>
          <w:right w:w="108" w:type="dxa"/>
        </w:tblCellMar>
      </w:tblPr>
      <w:tblGrid>
        <w:gridCol w:w="10682"/>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5000" w:type="pct"/>
          </w:tcPr>
          <w:p>
            <w:pPr>
              <w:snapToGrid w:val="0"/>
              <w:spacing w:line="360" w:lineRule="auto"/>
              <w:ind w:firstLine="480" w:firstLineChars="200"/>
              <w:jc w:val="left"/>
              <w:rPr>
                <w:rFonts w:ascii="宋体" w:cs="宋体"/>
                <w:sz w:val="24"/>
              </w:rPr>
            </w:pPr>
            <w:r>
              <w:rPr>
                <w:rFonts w:hint="eastAsia" w:ascii="宋体" w:cs="宋体"/>
                <w:sz w:val="24"/>
              </w:rPr>
              <w:t>（</w:t>
            </w:r>
            <w:r>
              <w:rPr>
                <w:rFonts w:hint="eastAsia" w:ascii="宋体" w:cs="宋体"/>
                <w:b/>
                <w:bCs/>
                <w:sz w:val="24"/>
              </w:rPr>
              <w:t>法定代表人</w:t>
            </w:r>
            <w:r>
              <w:rPr>
                <w:rFonts w:hint="eastAsia" w:ascii="宋体" w:cs="宋体"/>
                <w:sz w:val="24"/>
              </w:rPr>
              <w:t>及</w:t>
            </w:r>
            <w:r>
              <w:rPr>
                <w:rFonts w:hint="eastAsia" w:ascii="宋体" w:cs="宋体"/>
                <w:b/>
                <w:bCs/>
                <w:sz w:val="24"/>
              </w:rPr>
              <w:t>委托代理人</w:t>
            </w:r>
            <w:r>
              <w:rPr>
                <w:rFonts w:hint="eastAsia" w:ascii="宋体" w:cs="宋体"/>
                <w:sz w:val="24"/>
              </w:rPr>
              <w:t>身份证正、反面复印件）</w:t>
            </w:r>
          </w:p>
          <w:p>
            <w:pPr>
              <w:snapToGrid w:val="0"/>
              <w:spacing w:line="360" w:lineRule="auto"/>
              <w:ind w:firstLine="480"/>
              <w:rPr>
                <w:rFonts w:ascii="宋体" w:cs="宋体"/>
                <w:sz w:val="24"/>
              </w:rPr>
            </w:pPr>
          </w:p>
          <w:p>
            <w:pPr>
              <w:pStyle w:val="28"/>
            </w:pPr>
          </w:p>
          <w:p/>
          <w:p>
            <w:pPr>
              <w:pStyle w:val="28"/>
            </w:pPr>
          </w:p>
        </w:tc>
      </w:tr>
    </w:tbl>
    <w:p>
      <w:pPr>
        <w:snapToGrid w:val="0"/>
        <w:spacing w:line="360" w:lineRule="auto"/>
        <w:rPr>
          <w:rFonts w:ascii="宋体" w:cs="宋体"/>
          <w:sz w:val="24"/>
        </w:rPr>
      </w:pPr>
    </w:p>
    <w:p>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r>
        <w:rPr>
          <w:rFonts w:ascii="宋体" w:cs="宋体"/>
          <w:sz w:val="24"/>
          <w:u w:val="single"/>
        </w:rPr>
        <w:t xml:space="preserve">          </w:t>
      </w:r>
    </w:p>
    <w:p>
      <w:pPr>
        <w:snapToGrid w:val="0"/>
        <w:spacing w:line="360" w:lineRule="auto"/>
        <w:rPr>
          <w:rFonts w:ascii="宋体" w:cs="宋体"/>
          <w:sz w:val="24"/>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pPr>
        <w:snapToGrid w:val="0"/>
        <w:spacing w:line="360" w:lineRule="auto"/>
        <w:rPr>
          <w:rFonts w:ascii="宋体" w:cs="宋体"/>
          <w:sz w:val="24"/>
        </w:rPr>
      </w:pPr>
      <w:r>
        <w:rPr>
          <w:rFonts w:hint="eastAsia" w:ascii="宋体" w:cs="宋体"/>
          <w:sz w:val="24"/>
        </w:rPr>
        <w:t>身份证号：</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920" w:firstLineChars="2050"/>
        <w:rPr>
          <w:rFonts w:ascii="宋体" w:cs="宋体"/>
          <w:sz w:val="24"/>
        </w:rPr>
      </w:pPr>
    </w:p>
    <w:p>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 xml:space="preserve">投标人（盖章）： </w:t>
      </w:r>
      <w:r>
        <w:rPr>
          <w:rFonts w:ascii="宋体" w:cs="宋体"/>
          <w:sz w:val="24"/>
        </w:rPr>
        <w:t xml:space="preserve">      </w:t>
      </w:r>
    </w:p>
    <w:p>
      <w:pPr>
        <w:tabs>
          <w:tab w:val="left" w:pos="4395"/>
        </w:tabs>
        <w:snapToGrid w:val="0"/>
        <w:spacing w:line="360" w:lineRule="auto"/>
        <w:ind w:right="240"/>
        <w:jc w:val="left"/>
        <w:rPr>
          <w:rFonts w:ascii="宋体" w:cs="宋体"/>
          <w:sz w:val="24"/>
        </w:rPr>
      </w:pPr>
      <w:r>
        <w:rPr>
          <w:rFonts w:ascii="宋体" w:cs="宋体"/>
          <w:sz w:val="24"/>
        </w:rPr>
        <w:tab/>
      </w:r>
      <w:r>
        <w:rPr>
          <w:rFonts w:hint="eastAsia" w:ascii="宋体" w:cs="宋体"/>
          <w:sz w:val="24"/>
        </w:rPr>
        <w:t>法定代表人（签字或盖章）：</w:t>
      </w:r>
    </w:p>
    <w:p>
      <w:pPr>
        <w:tabs>
          <w:tab w:val="left" w:pos="4395"/>
        </w:tabs>
        <w:snapToGrid w:val="0"/>
        <w:spacing w:line="360" w:lineRule="auto"/>
        <w:ind w:right="240" w:firstLine="4320" w:firstLineChars="1800"/>
        <w:jc w:val="left"/>
        <w:rPr>
          <w:rFonts w:ascii="宋体" w:cs="宋体"/>
          <w:sz w:val="24"/>
        </w:rPr>
      </w:pPr>
      <w:r>
        <w:rPr>
          <w:rFonts w:hint="eastAsia" w:ascii="宋体" w:cs="宋体"/>
          <w:sz w:val="24"/>
        </w:rPr>
        <w:t>日期：    年   月   日</w:t>
      </w:r>
    </w:p>
    <w:p>
      <w:pPr>
        <w:pStyle w:val="2"/>
        <w:ind w:left="420" w:firstLine="420"/>
      </w:pPr>
    </w:p>
    <w:p>
      <w:pPr>
        <w:pStyle w:val="4"/>
        <w:ind w:left="420"/>
      </w:pPr>
      <w:r>
        <w:br w:type="page"/>
      </w:r>
    </w:p>
    <w:p>
      <w:pPr>
        <w:rPr>
          <w:sz w:val="30"/>
          <w:szCs w:val="30"/>
        </w:rPr>
      </w:pPr>
      <w:r>
        <w:rPr>
          <w:rFonts w:hint="eastAsia"/>
          <w:sz w:val="30"/>
          <w:szCs w:val="30"/>
        </w:rPr>
        <w:t>附件</w:t>
      </w:r>
      <w:r>
        <w:rPr>
          <w:sz w:val="30"/>
          <w:szCs w:val="30"/>
        </w:rPr>
        <w:t>4</w:t>
      </w:r>
      <w:r>
        <w:rPr>
          <w:rFonts w:hint="eastAsia"/>
          <w:sz w:val="30"/>
          <w:szCs w:val="30"/>
        </w:rPr>
        <w:t>:</w:t>
      </w:r>
    </w:p>
    <w:p>
      <w:pPr>
        <w:jc w:val="center"/>
        <w:rPr>
          <w:b/>
          <w:bCs/>
          <w:sz w:val="30"/>
          <w:szCs w:val="30"/>
        </w:rPr>
      </w:pPr>
      <w:bookmarkStart w:id="19" w:name="_Toc25980"/>
      <w:bookmarkStart w:id="20" w:name="_Toc3889"/>
      <w:bookmarkStart w:id="21" w:name="_Toc9534"/>
      <w:bookmarkStart w:id="22" w:name="_Toc20729"/>
      <w:bookmarkStart w:id="23" w:name="_Toc6557"/>
      <w:r>
        <w:rPr>
          <w:rFonts w:hint="eastAsia"/>
          <w:b/>
          <w:bCs/>
          <w:sz w:val="30"/>
          <w:szCs w:val="30"/>
        </w:rPr>
        <w:t>非生产供应商注册操作手册</w:t>
      </w:r>
      <w:bookmarkEnd w:id="19"/>
      <w:bookmarkEnd w:id="20"/>
      <w:bookmarkEnd w:id="21"/>
      <w:bookmarkEnd w:id="22"/>
      <w:bookmarkEnd w:id="23"/>
    </w:p>
    <w:p>
      <w:pPr>
        <w:snapToGrid w:val="0"/>
        <w:spacing w:line="288" w:lineRule="auto"/>
        <w:rPr>
          <w:rFonts w:ascii="宋体" w:hAnsi="宋体" w:cs="宋体"/>
          <w:b/>
          <w:bCs/>
          <w:color w:val="FF0000"/>
          <w:szCs w:val="21"/>
        </w:rPr>
      </w:pPr>
      <w:r>
        <w:rPr>
          <w:rFonts w:hint="eastAsia" w:ascii="宋体" w:hAnsi="宋体" w:cs="宋体"/>
          <w:b/>
          <w:bCs/>
          <w:szCs w:val="21"/>
        </w:rPr>
        <w:t>e采通账号注册</w:t>
      </w:r>
    </w:p>
    <w:p>
      <w:pPr>
        <w:snapToGrid w:val="0"/>
        <w:spacing w:line="288" w:lineRule="auto"/>
        <w:rPr>
          <w:rFonts w:ascii="宋体" w:hAnsi="宋体" w:cs="宋体"/>
          <w:b/>
          <w:bCs/>
          <w:color w:val="FF0000"/>
          <w:szCs w:val="21"/>
        </w:rPr>
      </w:pPr>
      <w:r>
        <w:rPr>
          <w:rFonts w:hint="eastAsia" w:ascii="宋体" w:hAnsi="宋体" w:cs="宋体"/>
          <w:szCs w:val="21"/>
        </w:rPr>
        <w:t>投标人必须在报名时完成账号注册，</w:t>
      </w:r>
      <w:r>
        <w:rPr>
          <w:rFonts w:hint="eastAsia" w:ascii="宋体" w:hAnsi="宋体" w:cs="宋体"/>
          <w:b/>
          <w:bCs/>
          <w:color w:val="FF0000"/>
          <w:szCs w:val="21"/>
        </w:rPr>
        <w:t>注册成功后会收到短信通知，用收到的供应商账号和密码登录，请牢记。已注册过账号密码丢失的，用注册时的手机号登录，点击忘记密码，自行重新设置。已注册过账号登录时提示账号已注销的请联系招标人协调解决。</w:t>
      </w:r>
    </w:p>
    <w:p>
      <w:pPr>
        <w:snapToGrid w:val="0"/>
        <w:spacing w:line="288" w:lineRule="auto"/>
        <w:rPr>
          <w:rFonts w:ascii="宋体" w:hAnsi="宋体" w:cs="宋体"/>
          <w:b/>
          <w:bCs/>
          <w:szCs w:val="21"/>
        </w:rPr>
      </w:pPr>
      <w:r>
        <w:rPr>
          <w:rFonts w:hint="eastAsia" w:ascii="宋体" w:hAnsi="宋体" w:cs="宋体"/>
          <w:b/>
          <w:bCs/>
          <w:szCs w:val="21"/>
        </w:rPr>
        <w:t>投标单位名称带有括号的，应确保括号的样式（区分英文或汉字输入法）与银行预留的、e采通注册的完全一致，不一致的请自行在e采通中修改，否则影响后续退保证金及付款。</w:t>
      </w:r>
    </w:p>
    <w:p>
      <w:pPr>
        <w:snapToGrid w:val="0"/>
        <w:spacing w:line="288" w:lineRule="auto"/>
        <w:rPr>
          <w:b/>
          <w:bCs/>
        </w:rPr>
      </w:pPr>
      <w:r>
        <w:rPr>
          <w:rFonts w:hint="eastAsia" w:ascii="宋体" w:hAnsi="宋体" w:cs="宋体"/>
          <w:b/>
          <w:bCs/>
          <w:color w:val="0000FF"/>
          <w:szCs w:val="21"/>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rPr>
          <w:rFonts w:ascii="宋体" w:cs="宋体"/>
          <w:b/>
          <w:bCs/>
          <w:color w:val="C00000"/>
          <w:lang w:bidi="ar"/>
        </w:rPr>
      </w:pPr>
    </w:p>
    <w:p>
      <w:pPr>
        <w:rPr>
          <w:rFonts w:ascii="宋体" w:cs="宋体"/>
          <w:b/>
          <w:bCs/>
          <w:color w:val="C00000"/>
          <w:lang w:bidi="ar"/>
        </w:rPr>
      </w:pPr>
    </w:p>
    <w:p>
      <w:pPr>
        <w:rPr>
          <w:rFonts w:ascii="宋体" w:cs="宋体"/>
          <w:b/>
          <w:bCs/>
          <w:sz w:val="32"/>
          <w:szCs w:val="40"/>
          <w:highlight w:val="yellow"/>
        </w:rPr>
      </w:pPr>
      <w:r>
        <w:rPr>
          <w:rFonts w:hint="eastAsia" w:ascii="宋体" w:cs="宋体"/>
          <w:b/>
          <w:bCs/>
          <w:sz w:val="32"/>
          <w:szCs w:val="40"/>
          <w:highlight w:val="yellow"/>
          <w:lang w:bidi="ar"/>
        </w:rPr>
        <w:t>供应商注册</w:t>
      </w:r>
    </w:p>
    <w:p>
      <w:pPr>
        <w:rPr>
          <w:rFonts w:ascii="宋体" w:cs="宋体"/>
          <w:b/>
          <w:bCs/>
          <w:color w:val="C00000"/>
        </w:rPr>
      </w:pPr>
      <w:r>
        <w:rPr>
          <w:rFonts w:hint="eastAsia" w:ascii="宋体" w:cs="宋体"/>
          <w:b/>
          <w:bCs/>
          <w:color w:val="C00000"/>
          <w:lang w:bidi="ar"/>
        </w:rPr>
        <w:t>归口部门选“技术改造部”</w:t>
      </w:r>
    </w:p>
    <w:p>
      <w:r>
        <w:rPr>
          <w:rFonts w:hint="eastAsia" w:ascii="宋体" w:cs="宋体"/>
          <w:color w:val="000000"/>
          <w:lang w:bidi="ar"/>
        </w:rPr>
        <w:t>浏览器中输入地址</w:t>
      </w:r>
      <w:r>
        <w:rPr>
          <w:rFonts w:ascii="Calibri" w:hAnsi="Calibri" w:eastAsia="Calibri" w:cs="Calibri"/>
          <w:color w:val="000000"/>
          <w:lang w:bidi="ar"/>
        </w:rPr>
        <w:t>;</w:t>
      </w:r>
    </w:p>
    <w:p>
      <w:r>
        <w:fldChar w:fldCharType="begin"/>
      </w:r>
      <w:r>
        <w:instrText xml:space="preserve"> HYPERLINK "http://ecaitong.sinotruk.com:8012/" \l "/login normalLink /tdkey d38o9f /tdfe -10 /tdfu http:/ecaitong.sinotruk.com:8012/#/login /tdlt inline" </w:instrText>
      </w:r>
      <w:r>
        <w:fldChar w:fldCharType="separate"/>
      </w:r>
      <w:r>
        <w:rPr>
          <w:rStyle w:val="45"/>
        </w:rPr>
        <w:t>http</w:t>
      </w:r>
      <w:r>
        <w:rPr>
          <w:rStyle w:val="45"/>
          <w:rFonts w:hint="eastAsia"/>
        </w:rPr>
        <w:t>s</w:t>
      </w:r>
      <w:r>
        <w:rPr>
          <w:rStyle w:val="45"/>
        </w:rPr>
        <w:t>://ecaitong.sinotruk.com:8012/#/login</w:t>
      </w:r>
      <w:r>
        <w:rPr>
          <w:rStyle w:val="45"/>
        </w:rPr>
        <w:fldChar w:fldCharType="end"/>
      </w:r>
    </w:p>
    <w:p>
      <w:pPr>
        <w:numPr>
          <w:ilvl w:val="0"/>
          <w:numId w:val="2"/>
        </w:numPr>
        <w:rPr>
          <w:rFonts w:ascii="宋体" w:cs="宋体"/>
          <w:color w:val="000000"/>
          <w:lang w:bidi="ar"/>
        </w:rPr>
      </w:pPr>
      <w:r>
        <w:rPr>
          <w:rFonts w:hint="eastAsia" w:ascii="宋体" w:cs="宋体"/>
          <w:color w:val="000000"/>
          <w:lang w:bidi="ar"/>
        </w:rPr>
        <w:t>点击立即注册</w:t>
      </w:r>
    </w:p>
    <w:p>
      <w:pPr>
        <w:rPr>
          <w:sz w:val="13"/>
          <w:szCs w:val="16"/>
          <w:highlight w:val="red"/>
        </w:rPr>
      </w:pPr>
      <w:r>
        <w:rPr>
          <w:rFonts w:hint="eastAsia" w:ascii="宋体" w:cs="宋体"/>
          <w:b/>
          <w:bCs/>
          <w:color w:val="C00000"/>
          <w:sz w:val="28"/>
          <w:szCs w:val="36"/>
          <w:highlight w:val="yellow"/>
          <w:lang w:bidi="ar"/>
        </w:rPr>
        <w:t>新用户注册前请务必仔细阅读系统中的供应商用户手册，根据手册提示进行操作，见下图所示</w:t>
      </w:r>
    </w:p>
    <w:p>
      <w:pPr>
        <w:snapToGrid w:val="0"/>
        <w:spacing w:line="312" w:lineRule="auto"/>
      </w:pPr>
      <w:r>
        <w:rPr>
          <w:rFonts w:ascii="宋体" w:hAnsi="宋体" w:cs="宋体"/>
          <w:sz w:val="24"/>
        </w:rPr>
        <w:drawing>
          <wp:inline distT="0" distB="0" distL="114300" distR="114300">
            <wp:extent cx="5605145" cy="2578735"/>
            <wp:effectExtent l="0" t="0" r="14605" b="12065"/>
            <wp:docPr id="1963543973" name="图片 1" descr="IMG_2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3543973" name="图片 1" descr="IMG_256"/>
                    <pic:cNvPicPr>
                      <a:picLocks noChangeAspect="1"/>
                    </pic:cNvPicPr>
                  </pic:nvPicPr>
                  <pic:blipFill>
                    <a:blip r:embed="rId25"/>
                    <a:stretch>
                      <a:fillRect/>
                    </a:stretch>
                  </pic:blipFill>
                  <pic:spPr>
                    <a:xfrm>
                      <a:off x="0" y="0"/>
                      <a:ext cx="5605145" cy="2578735"/>
                    </a:xfrm>
                    <a:prstGeom prst="rect">
                      <a:avLst/>
                    </a:prstGeom>
                    <a:noFill/>
                    <a:ln w="9525">
                      <a:noFill/>
                    </a:ln>
                  </pic:spPr>
                </pic:pic>
              </a:graphicData>
            </a:graphic>
          </wp:inline>
        </w:drawing>
      </w:r>
    </w:p>
    <w:p>
      <w:r>
        <w:rPr>
          <w:rFonts w:ascii="Calibri" w:hAnsi="Calibri" w:eastAsia="Calibri" w:cs="Calibri"/>
          <w:color w:val="000000"/>
          <w:lang w:bidi="ar"/>
        </w:rPr>
        <w:t xml:space="preserve">2.     </w:t>
      </w:r>
      <w:r>
        <w:rPr>
          <w:rFonts w:hint="eastAsia" w:ascii="宋体" w:cs="宋体"/>
          <w:color w:val="000000"/>
          <w:lang w:bidi="ar"/>
        </w:rPr>
        <w:t>填写手机号码（没有注册过的）</w:t>
      </w:r>
    </w:p>
    <w:p>
      <w:pPr>
        <w:snapToGrid w:val="0"/>
        <w:spacing w:line="312" w:lineRule="auto"/>
      </w:pPr>
      <w:r>
        <w:drawing>
          <wp:inline distT="0" distB="0" distL="114300" distR="114300">
            <wp:extent cx="5758180" cy="2765425"/>
            <wp:effectExtent l="0" t="0" r="13970" b="15875"/>
            <wp:docPr id="17" name="图片 17" descr="descript"/>
            <wp:cNvGraphicFramePr/>
            <a:graphic xmlns:a="http://schemas.openxmlformats.org/drawingml/2006/main">
              <a:graphicData uri="http://schemas.openxmlformats.org/drawingml/2006/picture">
                <pic:pic xmlns:pic="http://schemas.openxmlformats.org/drawingml/2006/picture">
                  <pic:nvPicPr>
                    <pic:cNvPr id="17" name="图片 17" descr="descript"/>
                    <pic:cNvPicPr/>
                  </pic:nvPicPr>
                  <pic:blipFill>
                    <a:blip r:embed="rId26"/>
                    <a:stretch>
                      <a:fillRect/>
                    </a:stretch>
                  </pic:blipFill>
                  <pic:spPr>
                    <a:xfrm>
                      <a:off x="0" y="0"/>
                      <a:ext cx="5758180" cy="2765425"/>
                    </a:xfrm>
                    <a:prstGeom prst="rect">
                      <a:avLst/>
                    </a:prstGeom>
                    <a:noFill/>
                    <a:ln>
                      <a:noFill/>
                    </a:ln>
                  </pic:spPr>
                </pic:pic>
              </a:graphicData>
            </a:graphic>
          </wp:inline>
        </w:drawing>
      </w:r>
    </w:p>
    <w:p>
      <w:pPr>
        <w:rPr>
          <w:b/>
          <w:bCs/>
        </w:rPr>
      </w:pPr>
      <w:r>
        <w:rPr>
          <w:rFonts w:ascii="Calibri" w:hAnsi="Calibri" w:eastAsia="Calibri" w:cs="Calibri"/>
          <w:b/>
          <w:bCs/>
          <w:color w:val="000000"/>
          <w:lang w:bidi="ar"/>
        </w:rPr>
        <w:t xml:space="preserve">3.     </w:t>
      </w:r>
      <w:r>
        <w:rPr>
          <w:rFonts w:hint="eastAsia" w:ascii="宋体" w:cs="宋体"/>
          <w:b/>
          <w:bCs/>
          <w:color w:val="000000"/>
          <w:lang w:bidi="ar"/>
        </w:rPr>
        <w:t>注册成功登录这个手机号码的账号进入系统，点击供应商注册</w:t>
      </w:r>
    </w:p>
    <w:p>
      <w:pPr>
        <w:snapToGrid w:val="0"/>
        <w:spacing w:line="312" w:lineRule="auto"/>
      </w:pPr>
      <w:r>
        <w:drawing>
          <wp:inline distT="0" distB="0" distL="114300" distR="114300">
            <wp:extent cx="5760085" cy="2867025"/>
            <wp:effectExtent l="0" t="0" r="12065" b="9525"/>
            <wp:docPr id="5" name="图片 5" descr="descript"/>
            <wp:cNvGraphicFramePr/>
            <a:graphic xmlns:a="http://schemas.openxmlformats.org/drawingml/2006/main">
              <a:graphicData uri="http://schemas.openxmlformats.org/drawingml/2006/picture">
                <pic:pic xmlns:pic="http://schemas.openxmlformats.org/drawingml/2006/picture">
                  <pic:nvPicPr>
                    <pic:cNvPr id="5" name="图片 5" descr="descript"/>
                    <pic:cNvPicPr/>
                  </pic:nvPicPr>
                  <pic:blipFill>
                    <a:blip r:embed="rId27"/>
                    <a:stretch>
                      <a:fillRect/>
                    </a:stretch>
                  </pic:blipFill>
                  <pic:spPr>
                    <a:xfrm>
                      <a:off x="0" y="0"/>
                      <a:ext cx="5760085" cy="2867025"/>
                    </a:xfrm>
                    <a:prstGeom prst="rect">
                      <a:avLst/>
                    </a:prstGeom>
                    <a:noFill/>
                    <a:ln>
                      <a:noFill/>
                    </a:ln>
                  </pic:spPr>
                </pic:pic>
              </a:graphicData>
            </a:graphic>
          </wp:inline>
        </w:drawing>
      </w:r>
    </w:p>
    <w:p>
      <w:r>
        <w:rPr>
          <w:rFonts w:ascii="Calibri" w:hAnsi="Calibri" w:eastAsia="Calibri" w:cs="Calibri"/>
          <w:color w:val="000000"/>
          <w:lang w:bidi="ar"/>
        </w:rPr>
        <w:t xml:space="preserve">4.     </w:t>
      </w:r>
      <w:r>
        <w:rPr>
          <w:rFonts w:hint="eastAsia" w:ascii="宋体" w:cs="宋体"/>
          <w:color w:val="000000"/>
          <w:lang w:bidi="ar"/>
        </w:rPr>
        <w:t>点击新增</w:t>
      </w:r>
    </w:p>
    <w:p>
      <w:pPr>
        <w:snapToGrid w:val="0"/>
        <w:spacing w:line="312" w:lineRule="auto"/>
      </w:pPr>
      <w:r>
        <w:drawing>
          <wp:inline distT="0" distB="0" distL="114300" distR="114300">
            <wp:extent cx="5758180" cy="2852420"/>
            <wp:effectExtent l="0" t="0" r="13970" b="5080"/>
            <wp:docPr id="4" name="图片 4" descr="descript"/>
            <wp:cNvGraphicFramePr/>
            <a:graphic xmlns:a="http://schemas.openxmlformats.org/drawingml/2006/main">
              <a:graphicData uri="http://schemas.openxmlformats.org/drawingml/2006/picture">
                <pic:pic xmlns:pic="http://schemas.openxmlformats.org/drawingml/2006/picture">
                  <pic:nvPicPr>
                    <pic:cNvPr id="4" name="图片 4" descr="descript"/>
                    <pic:cNvPicPr/>
                  </pic:nvPicPr>
                  <pic:blipFill>
                    <a:blip r:embed="rId28"/>
                    <a:stretch>
                      <a:fillRect/>
                    </a:stretch>
                  </pic:blipFill>
                  <pic:spPr>
                    <a:xfrm>
                      <a:off x="0" y="0"/>
                      <a:ext cx="5758180" cy="2852420"/>
                    </a:xfrm>
                    <a:prstGeom prst="rect">
                      <a:avLst/>
                    </a:prstGeom>
                    <a:noFill/>
                    <a:ln>
                      <a:noFill/>
                    </a:ln>
                  </pic:spPr>
                </pic:pic>
              </a:graphicData>
            </a:graphic>
          </wp:inline>
        </w:drawing>
      </w:r>
    </w:p>
    <w:p>
      <w:r>
        <w:rPr>
          <w:lang w:bidi="ar"/>
        </w:rPr>
        <w:t>5</w:t>
      </w:r>
      <w:r>
        <w:rPr>
          <w:rFonts w:ascii="Calibri" w:hAnsi="Calibri" w:eastAsia="Calibri" w:cs="Calibri"/>
          <w:color w:val="000000"/>
          <w:lang w:bidi="ar"/>
        </w:rPr>
        <w:t xml:space="preserve"> </w:t>
      </w:r>
      <w:r>
        <w:rPr>
          <w:rFonts w:hint="eastAsia" w:ascii="宋体" w:cs="宋体"/>
          <w:color w:val="000000"/>
          <w:lang w:bidi="ar"/>
        </w:rPr>
        <w:t>按要求填写所有信息，注意非生产类要填写合作单位，最后提交审批</w:t>
      </w:r>
    </w:p>
    <w:p>
      <w:pPr>
        <w:rPr>
          <w:rFonts w:ascii="宋体" w:cs="宋体"/>
          <w:color w:val="000000"/>
        </w:rPr>
      </w:pPr>
      <w:r>
        <w:drawing>
          <wp:inline distT="0" distB="0" distL="114300" distR="114300">
            <wp:extent cx="5760085" cy="2807335"/>
            <wp:effectExtent l="0" t="0" r="12065" b="12065"/>
            <wp:docPr id="18" name="图片 18" descr="descript"/>
            <wp:cNvGraphicFramePr/>
            <a:graphic xmlns:a="http://schemas.openxmlformats.org/drawingml/2006/main">
              <a:graphicData uri="http://schemas.openxmlformats.org/drawingml/2006/picture">
                <pic:pic xmlns:pic="http://schemas.openxmlformats.org/drawingml/2006/picture">
                  <pic:nvPicPr>
                    <pic:cNvPr id="18" name="图片 18" descr="descript"/>
                    <pic:cNvPicPr/>
                  </pic:nvPicPr>
                  <pic:blipFill>
                    <a:blip r:embed="rId29"/>
                    <a:stretch>
                      <a:fillRect/>
                    </a:stretch>
                  </pic:blipFill>
                  <pic:spPr>
                    <a:xfrm>
                      <a:off x="0" y="0"/>
                      <a:ext cx="5760085" cy="2807335"/>
                    </a:xfrm>
                    <a:prstGeom prst="rect">
                      <a:avLst/>
                    </a:prstGeom>
                    <a:noFill/>
                    <a:ln>
                      <a:noFill/>
                    </a:ln>
                  </pic:spPr>
                </pic:pic>
              </a:graphicData>
            </a:graphic>
          </wp:inline>
        </w:drawing>
      </w:r>
      <w:r>
        <w:drawing>
          <wp:inline distT="0" distB="0" distL="114300" distR="114300">
            <wp:extent cx="5758180" cy="2817495"/>
            <wp:effectExtent l="0" t="0" r="13970" b="1905"/>
            <wp:docPr id="6" name="图片 6" descr="descript"/>
            <wp:cNvGraphicFramePr/>
            <a:graphic xmlns:a="http://schemas.openxmlformats.org/drawingml/2006/main">
              <a:graphicData uri="http://schemas.openxmlformats.org/drawingml/2006/picture">
                <pic:pic xmlns:pic="http://schemas.openxmlformats.org/drawingml/2006/picture">
                  <pic:nvPicPr>
                    <pic:cNvPr id="6" name="图片 6" descr="descript"/>
                    <pic:cNvPicPr/>
                  </pic:nvPicPr>
                  <pic:blipFill>
                    <a:blip r:embed="rId30"/>
                    <a:stretch>
                      <a:fillRect/>
                    </a:stretch>
                  </pic:blipFill>
                  <pic:spPr>
                    <a:xfrm>
                      <a:off x="0" y="0"/>
                      <a:ext cx="5758180" cy="2817495"/>
                    </a:xfrm>
                    <a:prstGeom prst="rect">
                      <a:avLst/>
                    </a:prstGeom>
                    <a:noFill/>
                    <a:ln>
                      <a:noFill/>
                    </a:ln>
                  </pic:spPr>
                </pic:pic>
              </a:graphicData>
            </a:graphic>
          </wp:inline>
        </w:drawing>
      </w:r>
      <w:r>
        <w:drawing>
          <wp:inline distT="0" distB="0" distL="114300" distR="114300">
            <wp:extent cx="5758180" cy="2817495"/>
            <wp:effectExtent l="0" t="0" r="13970" b="1905"/>
            <wp:docPr id="7" name="图片 7" descr="descript"/>
            <wp:cNvGraphicFramePr/>
            <a:graphic xmlns:a="http://schemas.openxmlformats.org/drawingml/2006/main">
              <a:graphicData uri="http://schemas.openxmlformats.org/drawingml/2006/picture">
                <pic:pic xmlns:pic="http://schemas.openxmlformats.org/drawingml/2006/picture">
                  <pic:nvPicPr>
                    <pic:cNvPr id="7" name="图片 7" descr="descript"/>
                    <pic:cNvPicPr/>
                  </pic:nvPicPr>
                  <pic:blipFill>
                    <a:blip r:embed="rId30"/>
                    <a:stretch>
                      <a:fillRect/>
                    </a:stretch>
                  </pic:blipFill>
                  <pic:spPr>
                    <a:xfrm>
                      <a:off x="0" y="0"/>
                      <a:ext cx="5758180" cy="2817495"/>
                    </a:xfrm>
                    <a:prstGeom prst="rect">
                      <a:avLst/>
                    </a:prstGeom>
                    <a:noFill/>
                    <a:ln>
                      <a:noFill/>
                    </a:ln>
                  </pic:spPr>
                </pic:pic>
              </a:graphicData>
            </a:graphic>
          </wp:inline>
        </w:drawing>
      </w:r>
    </w:p>
    <w:p/>
    <w:p>
      <w:pPr>
        <w:snapToGrid w:val="0"/>
        <w:spacing w:line="312" w:lineRule="auto"/>
      </w:pPr>
    </w:p>
    <w:p/>
    <w:p>
      <w:pPr>
        <w:pStyle w:val="8"/>
        <w:widowControl/>
        <w:rPr>
          <w:rFonts w:ascii="Cambria" w:hAnsi="Cambria" w:cs="Cambria"/>
          <w:highlight w:val="yellow"/>
        </w:rPr>
      </w:pPr>
      <w:r>
        <w:rPr>
          <w:rFonts w:hint="eastAsia" w:ascii="宋体" w:cs="宋体"/>
          <w:highlight w:val="yellow"/>
          <w:lang w:val="en-US" w:eastAsia="zh-CN"/>
        </w:rPr>
        <w:t>附件-e采通</w:t>
      </w:r>
      <w:r>
        <w:rPr>
          <w:rFonts w:hint="eastAsia" w:ascii="宋体" w:cs="宋体"/>
          <w:highlight w:val="yellow"/>
        </w:rPr>
        <w:t>登录界面</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此页面用于进行账号登录，找回密码。</w:t>
      </w:r>
    </w:p>
    <w:p>
      <w:pPr>
        <w:numPr>
          <w:ilvl w:val="0"/>
          <w:numId w:val="3"/>
        </w:numPr>
        <w:spacing w:line="360" w:lineRule="auto"/>
      </w:pPr>
      <w:r>
        <w:rPr>
          <w:rFonts w:hint="eastAsia" w:ascii="宋体" w:cs="宋体"/>
          <w:lang w:bidi="ar"/>
        </w:rPr>
        <w:t>界面如下</w:t>
      </w:r>
    </w:p>
    <w:p>
      <w:r>
        <w:drawing>
          <wp:inline distT="0" distB="0" distL="114300" distR="114300">
            <wp:extent cx="5278120" cy="2660650"/>
            <wp:effectExtent l="0" t="0" r="17780" b="6350"/>
            <wp:docPr id="9" name="图片 9" descr="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7"/>
                    <pic:cNvPicPr>
                      <a:picLocks noChangeAspect="1"/>
                    </pic:cNvPicPr>
                  </pic:nvPicPr>
                  <pic:blipFill>
                    <a:blip r:embed="rId31"/>
                    <a:stretch>
                      <a:fillRect/>
                    </a:stretch>
                  </pic:blipFill>
                  <pic:spPr>
                    <a:xfrm>
                      <a:off x="0" y="0"/>
                      <a:ext cx="5278120" cy="2660650"/>
                    </a:xfrm>
                    <a:prstGeom prst="rect">
                      <a:avLst/>
                    </a:prstGeom>
                    <a:noFill/>
                    <a:ln>
                      <a:noFill/>
                    </a:ln>
                  </pic:spPr>
                </pic:pic>
              </a:graphicData>
            </a:graphic>
          </wp:inline>
        </w:drawing>
      </w:r>
    </w:p>
    <w:p>
      <w:pPr>
        <w:pStyle w:val="159"/>
        <w:widowControl/>
        <w:ind w:firstLine="0" w:firstLineChars="0"/>
        <w:rPr>
          <w:kern w:val="2"/>
          <w:sz w:val="21"/>
          <w:szCs w:val="21"/>
        </w:rPr>
      </w:pPr>
      <w:r>
        <w:rPr>
          <w:kern w:val="2"/>
          <w:sz w:val="21"/>
          <w:szCs w:val="21"/>
        </w:rPr>
        <w:t>3</w:t>
      </w:r>
      <w:r>
        <w:rPr>
          <w:rFonts w:hint="eastAsia" w:ascii="宋体" w:cs="宋体"/>
          <w:kern w:val="2"/>
          <w:sz w:val="21"/>
          <w:szCs w:val="21"/>
        </w:rPr>
        <w:t>）页面规则</w:t>
      </w:r>
    </w:p>
    <w:p>
      <w:pPr>
        <w:pStyle w:val="159"/>
        <w:widowControl/>
        <w:ind w:firstLine="0" w:firstLineChars="0"/>
        <w:rPr>
          <w:kern w:val="2"/>
          <w:sz w:val="21"/>
          <w:szCs w:val="21"/>
        </w:rPr>
      </w:pPr>
      <w:r>
        <w:rPr>
          <w:rFonts w:hint="eastAsia" w:ascii="宋体" w:cs="宋体"/>
          <w:b/>
          <w:bCs/>
          <w:kern w:val="2"/>
          <w:sz w:val="21"/>
          <w:szCs w:val="21"/>
        </w:rPr>
        <w:t>重置密码：</w:t>
      </w:r>
      <w:r>
        <w:rPr>
          <w:rFonts w:hint="eastAsia" w:ascii="宋体" w:cs="宋体"/>
          <w:kern w:val="2"/>
          <w:sz w:val="21"/>
          <w:szCs w:val="21"/>
        </w:rPr>
        <w:t>对于新注册的供应商，审批流程结束之后</w:t>
      </w:r>
      <w:r>
        <w:rPr>
          <w:kern w:val="2"/>
          <w:sz w:val="21"/>
          <w:szCs w:val="21"/>
        </w:rPr>
        <w:t>e</w:t>
      </w:r>
      <w:r>
        <w:rPr>
          <w:rFonts w:hint="eastAsia" w:ascii="宋体" w:cs="宋体"/>
          <w:kern w:val="2"/>
          <w:sz w:val="21"/>
          <w:szCs w:val="21"/>
        </w:rPr>
        <w:t>采通系统会发送短信到注册的收据号上，会告知登录账号和密码，</w:t>
      </w:r>
      <w:r>
        <w:rPr>
          <w:rFonts w:hint="eastAsia" w:ascii="宋体" w:cs="宋体"/>
          <w:b/>
          <w:bCs/>
          <w:kern w:val="2"/>
          <w:sz w:val="21"/>
          <w:szCs w:val="21"/>
        </w:rPr>
        <w:t>账号为供应商注册完成后发送到手机上的账号密码。</w:t>
      </w:r>
      <w:r>
        <w:rPr>
          <w:rFonts w:hint="eastAsia" w:ascii="宋体" w:cs="宋体"/>
          <w:kern w:val="2"/>
          <w:sz w:val="21"/>
          <w:szCs w:val="21"/>
        </w:rPr>
        <w:t>登录系统之后，立即绑定手机号，后续所有的密码重置都可以在登录界面点击忘记密码按钮，验证手机号码进行重置！</w:t>
      </w:r>
    </w:p>
    <w:p>
      <w:pPr>
        <w:spacing w:line="360" w:lineRule="auto"/>
      </w:pPr>
      <w:r>
        <w:rPr>
          <w:rFonts w:hint="eastAsia" w:ascii="宋体" w:cs="宋体"/>
          <w:lang w:bidi="ar"/>
        </w:rPr>
        <w:t>如果供应商从未在系统内注册，此时认为是新供应商注册，需要点击“立即注册”按钮，用自己的手机号码登陆系统，进入系统之后点击供应商中心——》供应商注册，填写供应商注册信息，注意此时需要尽量把所有信息都维护完整，才可以提交成功，如果点击提交系统报错或者系统没反应请先仔细检查自己的填写数据是否完整正确。</w:t>
      </w:r>
    </w:p>
    <w:p>
      <w:pPr>
        <w:pStyle w:val="8"/>
        <w:widowControl/>
        <w:spacing w:line="360" w:lineRule="auto"/>
        <w:rPr>
          <w:rFonts w:ascii="Cambria" w:hAnsi="Cambria" w:cs="Cambria"/>
          <w:highlight w:val="yellow"/>
        </w:rPr>
      </w:pPr>
      <w:r>
        <w:rPr>
          <w:rFonts w:hint="eastAsia" w:ascii="宋体" w:cs="宋体"/>
          <w:highlight w:val="yellow"/>
          <w:lang w:val="en-US" w:eastAsia="zh-CN"/>
        </w:rPr>
        <w:t>附件-供应商注册</w:t>
      </w:r>
    </w:p>
    <w:p>
      <w:pPr>
        <w:spacing w:line="360" w:lineRule="auto"/>
      </w:pPr>
      <w:r>
        <w:rPr>
          <w:lang w:bidi="ar"/>
        </w:rPr>
        <w:t>1</w:t>
      </w:r>
      <w:r>
        <w:rPr>
          <w:rFonts w:hint="eastAsia" w:ascii="宋体" w:cs="宋体"/>
          <w:lang w:bidi="ar"/>
        </w:rPr>
        <w:t>）功能简介</w:t>
      </w:r>
    </w:p>
    <w:p>
      <w:pPr>
        <w:spacing w:line="360" w:lineRule="auto"/>
      </w:pPr>
      <w:r>
        <w:rPr>
          <w:rFonts w:hint="eastAsia" w:ascii="宋体" w:cs="宋体"/>
          <w:lang w:bidi="ar"/>
        </w:rPr>
        <w:t>此页面用于进行供应商注册</w:t>
      </w:r>
    </w:p>
    <w:p>
      <w:pPr>
        <w:pStyle w:val="159"/>
        <w:widowControl/>
        <w:ind w:firstLine="0" w:firstLineChars="0"/>
        <w:rPr>
          <w:kern w:val="2"/>
          <w:sz w:val="21"/>
          <w:szCs w:val="21"/>
        </w:rPr>
      </w:pPr>
      <w:r>
        <w:rPr>
          <w:kern w:val="2"/>
          <w:sz w:val="21"/>
          <w:szCs w:val="21"/>
        </w:rPr>
        <w:t>2</w:t>
      </w:r>
      <w:r>
        <w:rPr>
          <w:rFonts w:hint="eastAsia" w:ascii="宋体" w:cs="宋体"/>
          <w:kern w:val="2"/>
          <w:sz w:val="21"/>
          <w:szCs w:val="21"/>
        </w:rPr>
        <w:t>）界面如下</w:t>
      </w:r>
    </w:p>
    <w:p>
      <w:r>
        <w:drawing>
          <wp:inline distT="0" distB="0" distL="114300" distR="114300">
            <wp:extent cx="5342255" cy="2485390"/>
            <wp:effectExtent l="0" t="0" r="10795" b="10160"/>
            <wp:docPr id="1505033164" name="图片 1505033164" descr="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05033164" name="图片 1505033164" descr="8"/>
                    <pic:cNvPicPr>
                      <a:picLocks noChangeAspect="1"/>
                    </pic:cNvPicPr>
                  </pic:nvPicPr>
                  <pic:blipFill>
                    <a:blip r:embed="rId32"/>
                    <a:stretch>
                      <a:fillRect/>
                    </a:stretch>
                  </pic:blipFill>
                  <pic:spPr>
                    <a:xfrm>
                      <a:off x="0" y="0"/>
                      <a:ext cx="5342255" cy="2485390"/>
                    </a:xfrm>
                    <a:prstGeom prst="rect">
                      <a:avLst/>
                    </a:prstGeom>
                    <a:noFill/>
                    <a:ln>
                      <a:noFill/>
                    </a:ln>
                  </pic:spPr>
                </pic:pic>
              </a:graphicData>
            </a:graphic>
          </wp:inline>
        </w:drawing>
      </w:r>
    </w:p>
    <w:p>
      <w:pPr>
        <w:pStyle w:val="159"/>
        <w:widowControl/>
        <w:tabs>
          <w:tab w:val="left" w:pos="0"/>
        </w:tabs>
        <w:ind w:firstLine="0" w:firstLineChars="0"/>
        <w:rPr>
          <w:kern w:val="2"/>
          <w:sz w:val="21"/>
          <w:szCs w:val="21"/>
        </w:rPr>
      </w:pPr>
      <w:r>
        <w:rPr>
          <w:rFonts w:hint="eastAsia" w:ascii="宋体" w:cs="宋体"/>
          <w:kern w:val="2"/>
          <w:sz w:val="21"/>
          <w:szCs w:val="21"/>
        </w:rPr>
        <w:t>3）页面规则</w:t>
      </w:r>
    </w:p>
    <w:p>
      <w:pPr>
        <w:pStyle w:val="159"/>
        <w:widowControl/>
        <w:ind w:firstLine="0" w:firstLineChars="0"/>
        <w:rPr>
          <w:kern w:val="2"/>
          <w:sz w:val="21"/>
          <w:szCs w:val="21"/>
        </w:rPr>
      </w:pPr>
      <w:r>
        <w:rPr>
          <w:rFonts w:hint="eastAsia" w:ascii="宋体" w:cs="宋体"/>
          <w:kern w:val="2"/>
          <w:sz w:val="21"/>
          <w:szCs w:val="21"/>
        </w:rPr>
        <w:t>点击新增按钮进入注册界面，如果点击提交，系统报错或者系统没反应请先仔细检查自己的填写数据是否完整正确。</w:t>
      </w:r>
    </w:p>
    <w:p>
      <w:pPr>
        <w:spacing w:line="360" w:lineRule="auto"/>
      </w:pPr>
      <w:r>
        <w:rPr>
          <w:rFonts w:hint="eastAsia" w:ascii="宋体" w:cs="宋体"/>
          <w:lang w:bidi="ar"/>
        </w:rPr>
        <w:t>注册信息的字段：尽量把所有信息都填写完整，</w:t>
      </w:r>
    </w:p>
    <w:p>
      <w:pPr>
        <w:numPr>
          <w:ilvl w:val="0"/>
          <w:numId w:val="4"/>
        </w:numPr>
        <w:spacing w:line="360" w:lineRule="auto"/>
      </w:pPr>
      <w:r>
        <w:rPr>
          <w:rFonts w:hint="eastAsia" w:ascii="宋体" w:cs="宋体"/>
          <w:lang w:bidi="ar"/>
        </w:rPr>
        <w:t>统一社会信用代码字段，是供应商的唯一标识字段，没有校验规则，如果系统报统一社会信用代码重复则说明此供应商已经在</w:t>
      </w:r>
      <w:r>
        <w:rPr>
          <w:lang w:bidi="ar"/>
        </w:rPr>
        <w:t>e</w:t>
      </w:r>
      <w:r>
        <w:rPr>
          <w:rFonts w:hint="eastAsia" w:ascii="宋体" w:cs="宋体"/>
          <w:lang w:bidi="ar"/>
        </w:rPr>
        <w:t>采通内存在，请咨询对应的采购工程师账号密码。</w:t>
      </w:r>
    </w:p>
    <w:p>
      <w:pPr>
        <w:numPr>
          <w:ilvl w:val="0"/>
          <w:numId w:val="4"/>
        </w:numPr>
        <w:spacing w:line="360" w:lineRule="auto"/>
        <w:rPr>
          <w:b/>
          <w:bCs/>
          <w:color w:val="C00000"/>
        </w:rPr>
      </w:pPr>
      <w:r>
        <w:rPr>
          <w:rFonts w:hint="eastAsia" w:ascii="宋体" w:cs="宋体"/>
          <w:b/>
          <w:bCs/>
          <w:color w:val="C00000"/>
          <w:lang w:bidi="ar"/>
        </w:rPr>
        <w:t>采购形式编号和投标项目名称、近三年财务指标情况，对于非生产类供应商都是必填项。</w:t>
      </w:r>
    </w:p>
    <w:p>
      <w:pPr>
        <w:numPr>
          <w:ilvl w:val="0"/>
          <w:numId w:val="4"/>
        </w:numPr>
        <w:spacing w:line="360" w:lineRule="auto"/>
      </w:pPr>
      <w:r>
        <w:rPr>
          <w:rFonts w:hint="eastAsia" w:ascii="宋体" w:cs="宋体"/>
          <w:lang w:bidi="ar"/>
        </w:rPr>
        <w:t>营业执照有效结束日期目前限制在当前日期及之前，应该限制在当前日期之后，最大允许“</w:t>
      </w:r>
      <w:r>
        <w:rPr>
          <w:lang w:bidi="ar"/>
        </w:rPr>
        <w:t>9999-12-31</w:t>
      </w:r>
      <w:r>
        <w:rPr>
          <w:rFonts w:hint="eastAsia" w:ascii="宋体" w:cs="宋体"/>
          <w:lang w:bidi="ar"/>
        </w:rPr>
        <w:t>”，即代表永久有效。</w:t>
      </w:r>
    </w:p>
    <w:p>
      <w:pPr>
        <w:numPr>
          <w:ilvl w:val="0"/>
          <w:numId w:val="4"/>
        </w:numPr>
        <w:spacing w:line="360" w:lineRule="auto"/>
      </w:pPr>
      <w:r>
        <w:rPr>
          <w:rFonts w:hint="eastAsia" w:ascii="宋体" w:cs="宋体"/>
          <w:lang w:bidi="ar"/>
        </w:rPr>
        <w:t>提交成功之后进入审批流，每个节点都会由</w:t>
      </w:r>
      <w:r>
        <w:rPr>
          <w:lang w:bidi="ar"/>
        </w:rPr>
        <w:t>1</w:t>
      </w:r>
      <w:r>
        <w:rPr>
          <w:rFonts w:hint="eastAsia" w:ascii="宋体" w:cs="宋体"/>
          <w:lang w:bidi="ar"/>
        </w:rPr>
        <w:t>个或多个负责人审批，</w:t>
      </w:r>
      <w:r>
        <w:rPr>
          <w:rFonts w:hint="eastAsia" w:ascii="宋体" w:cs="宋体"/>
          <w:color w:val="C00000"/>
          <w:em w:val="dot"/>
          <w:lang w:bidi="ar"/>
        </w:rPr>
        <w:t>提交之后需要随时关注审批进度，被驳回的需要修改后重新提交信息。</w:t>
      </w:r>
      <w:r>
        <w:rPr>
          <w:rFonts w:hint="eastAsia" w:ascii="宋体" w:cs="宋体"/>
          <w:b/>
          <w:bCs/>
          <w:color w:val="C00000"/>
          <w:em w:val="dot"/>
          <w:lang w:bidi="ar"/>
        </w:rPr>
        <w:t>审批流程全部走完结束之后，且有短信通知供应商才算注册成功</w:t>
      </w:r>
      <w:r>
        <w:rPr>
          <w:rFonts w:hint="eastAsia" w:ascii="宋体" w:cs="宋体"/>
          <w:b/>
          <w:bCs/>
          <w:lang w:bidi="ar"/>
        </w:rPr>
        <w:t>。</w:t>
      </w:r>
    </w:p>
    <w:p>
      <w:pPr>
        <w:pStyle w:val="15"/>
        <w:widowControl/>
        <w:numPr>
          <w:ilvl w:val="0"/>
          <w:numId w:val="4"/>
        </w:numPr>
        <w:adjustRightInd/>
        <w:spacing w:line="360" w:lineRule="auto"/>
        <w:jc w:val="left"/>
        <w:textAlignment w:val="auto"/>
      </w:pPr>
      <w:r>
        <w:rPr>
          <w:rFonts w:hint="eastAsia" w:ascii="宋体" w:cs="宋体"/>
          <w:kern w:val="2"/>
        </w:rPr>
        <w:t>点击“查看”按钮可以进行查看注册信息，供应商提交注册之后想查看审批进度，可以点击此按钮。</w:t>
      </w:r>
    </w:p>
    <w:p>
      <w:pPr>
        <w:pStyle w:val="15"/>
        <w:widowControl/>
        <w:tabs>
          <w:tab w:val="left" w:pos="312"/>
        </w:tabs>
        <w:spacing w:line="360" w:lineRule="auto"/>
        <w:ind w:firstLine="0"/>
        <w:jc w:val="left"/>
        <w:rPr>
          <w:rFonts w:ascii="宋体" w:cs="宋体"/>
          <w:kern w:val="2"/>
          <w:szCs w:val="21"/>
        </w:rPr>
      </w:pPr>
      <w:r>
        <w:rPr>
          <w:rFonts w:hint="eastAsia" w:ascii="宋体" w:hAnsi="宋体" w:cs="宋体"/>
          <w:b/>
          <w:bCs/>
          <w:szCs w:val="21"/>
          <w:lang w:val="de-DE"/>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15"/>
        <w:widowControl/>
        <w:tabs>
          <w:tab w:val="left" w:pos="312"/>
        </w:tabs>
        <w:spacing w:line="360" w:lineRule="auto"/>
        <w:ind w:firstLine="0"/>
        <w:jc w:val="left"/>
        <w:rPr>
          <w:rFonts w:ascii="宋体" w:cs="宋体"/>
          <w:kern w:val="2"/>
        </w:rPr>
      </w:pPr>
    </w:p>
    <w:p>
      <w:pPr>
        <w:pStyle w:val="8"/>
        <w:widowControl/>
        <w:rPr>
          <w:highlight w:val="yellow"/>
        </w:rPr>
      </w:pPr>
      <w:r>
        <w:rPr>
          <w:rFonts w:hint="eastAsia" w:eastAsia="黑体" w:cs="黑体"/>
          <w:highlight w:val="yellow"/>
          <w:lang w:val="en-US" w:eastAsia="zh-CN"/>
        </w:rPr>
        <w:t>附件-</w:t>
      </w:r>
      <w:r>
        <w:rPr>
          <w:rFonts w:hint="eastAsia" w:eastAsia="黑体" w:cs="黑体"/>
          <w:highlight w:val="yellow"/>
        </w:rPr>
        <w:t>供应商应标</w:t>
      </w:r>
    </w:p>
    <w:p>
      <w:pPr>
        <w:rPr>
          <w:rFonts w:ascii="宋体" w:hAnsi="宋体" w:cs="宋体"/>
          <w:sz w:val="28"/>
          <w:szCs w:val="28"/>
        </w:rPr>
      </w:pPr>
      <w:r>
        <w:rPr>
          <w:rFonts w:hint="eastAsia" w:ascii="宋体" w:hAnsi="宋体" w:cs="宋体"/>
          <w:sz w:val="28"/>
          <w:szCs w:val="28"/>
          <w:lang w:bidi="ar"/>
        </w:rPr>
        <w:t>路径：招投标中心-非生产类招投标-供应商应标</w:t>
      </w:r>
    </w:p>
    <w:p>
      <w:pPr>
        <w:rPr>
          <w:rFonts w:ascii="宋体" w:hAnsi="宋体" w:cs="宋体"/>
          <w:sz w:val="28"/>
          <w:szCs w:val="28"/>
          <w:lang w:bidi="ar"/>
        </w:rPr>
      </w:pPr>
      <w:r>
        <w:rPr>
          <w:rFonts w:hint="eastAsia" w:ascii="宋体" w:hAnsi="宋体" w:cs="宋体"/>
          <w:sz w:val="28"/>
          <w:szCs w:val="28"/>
          <w:lang w:bidi="ar"/>
        </w:rPr>
        <w:t>e采通发布招标文件后，根据项目编号搜索本项目并点击应标，上传文件之后点击提交。</w:t>
      </w:r>
    </w:p>
    <w:p>
      <w:r>
        <w:rPr>
          <w:rFonts w:hint="eastAsia" w:ascii="宋体" w:hAnsi="宋体" w:cs="宋体"/>
          <w:b/>
          <w:bCs/>
          <w:sz w:val="24"/>
        </w:rPr>
        <w:t>此处应标为线上资格审查环节，不是投标环节，不需要上传投标文件。投标单位应尽快应标以验证e采通账号是否可以正常使用，账号异常的请按下述提示修改账号后提交应标资料，</w:t>
      </w:r>
      <w:r>
        <w:rPr>
          <w:rFonts w:hint="eastAsia" w:ascii="宋体" w:hAnsi="宋体" w:cs="宋体"/>
          <w:b/>
          <w:bCs/>
          <w:color w:val="FF0000"/>
          <w:sz w:val="24"/>
        </w:rPr>
        <w:t>应标审核通过后方可进入投标环节，逾期不应标的无法参与投标</w:t>
      </w:r>
      <w:r>
        <w:rPr>
          <w:rFonts w:hint="eastAsia" w:ascii="宋体" w:hAnsi="宋体" w:cs="宋体"/>
          <w:b/>
          <w:bCs/>
          <w:sz w:val="24"/>
        </w:rPr>
        <w:t>。</w:t>
      </w:r>
    </w:p>
    <w:p>
      <w:r>
        <w:drawing>
          <wp:inline distT="0" distB="0" distL="114300" distR="114300">
            <wp:extent cx="5393690" cy="2126615"/>
            <wp:effectExtent l="0" t="0" r="16510" b="6985"/>
            <wp:docPr id="20"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3"/>
                    <a:stretch>
                      <a:fillRect/>
                    </a:stretch>
                  </pic:blipFill>
                  <pic:spPr>
                    <a:xfrm>
                      <a:off x="0" y="0"/>
                      <a:ext cx="5393690" cy="2126615"/>
                    </a:xfrm>
                    <a:prstGeom prst="rect">
                      <a:avLst/>
                    </a:prstGeom>
                    <a:noFill/>
                    <a:ln>
                      <a:noFill/>
                    </a:ln>
                  </pic:spPr>
                </pic:pic>
              </a:graphicData>
            </a:graphic>
          </wp:inline>
        </w:drawing>
      </w:r>
    </w:p>
    <w:p>
      <w:pPr>
        <w:rPr>
          <w:rFonts w:cs="宋体"/>
          <w:sz w:val="24"/>
          <w:lang w:bidi="ar"/>
        </w:rPr>
      </w:pPr>
      <w:r>
        <w:rPr>
          <w:rFonts w:hint="eastAsia" w:cs="宋体"/>
          <w:sz w:val="24"/>
          <w:lang w:bidi="ar"/>
        </w:rPr>
        <w:t>注意：</w:t>
      </w:r>
    </w:p>
    <w:p>
      <w:pPr>
        <w:ind w:firstLine="480" w:firstLineChars="200"/>
        <w:rPr>
          <w:rFonts w:cs="宋体"/>
          <w:sz w:val="24"/>
          <w:lang w:bidi="ar"/>
        </w:rPr>
      </w:pPr>
      <w:r>
        <w:rPr>
          <w:rFonts w:hint="eastAsia" w:cs="宋体"/>
          <w:sz w:val="24"/>
          <w:lang w:bidi="ar"/>
        </w:rPr>
        <w:t>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w:t>
      </w:r>
      <w:r>
        <w:rPr>
          <w:sz w:val="24"/>
          <w:lang w:bidi="ar"/>
        </w:rPr>
        <w:t xml:space="preserve">+86-17860603455  </w:t>
      </w:r>
      <w:r>
        <w:rPr>
          <w:rFonts w:hint="eastAsia" w:cs="宋体"/>
          <w:sz w:val="24"/>
          <w:lang w:bidi="ar"/>
        </w:rPr>
        <w:t>）</w:t>
      </w:r>
    </w:p>
    <w:p>
      <w:pPr>
        <w:ind w:firstLine="480" w:firstLineChars="200"/>
        <w:rPr>
          <w:rFonts w:cs="宋体"/>
          <w:sz w:val="24"/>
          <w:lang w:bidi="ar"/>
        </w:rPr>
      </w:pPr>
      <w:r>
        <w:rPr>
          <w:rFonts w:hint="eastAsia" w:cs="宋体"/>
          <w:sz w:val="24"/>
          <w:lang w:bidi="ar"/>
        </w:rPr>
        <w:t>补充信息请到供应商中心——供应商变更任务——发起变更，进入信息填写界面，有①基本信息变更②供货类别变更③供货类别变更，选择《是否提供？一般是提供》，此处如果选择“否”系统则允许不提供财务数据的情况下参与应标，但是必须要先和采购中心联系，且此时提交的流程财务数据是不显示的且为空的，慎重。</w:t>
      </w:r>
    </w:p>
    <w:p>
      <w:pPr>
        <w:ind w:firstLine="480" w:firstLineChars="200"/>
        <w:rPr>
          <w:sz w:val="24"/>
        </w:rPr>
      </w:pPr>
      <w:r>
        <w:rPr>
          <w:rFonts w:hint="eastAsia" w:cs="宋体"/>
          <w:sz w:val="24"/>
          <w:lang w:bidi="ar"/>
        </w:rPr>
        <w:t>按要求填写财务数据，财务数据除长期借款、短期借款、对外担保金额可以为</w:t>
      </w:r>
      <w:r>
        <w:rPr>
          <w:sz w:val="24"/>
          <w:lang w:bidi="ar"/>
        </w:rPr>
        <w:t>0</w:t>
      </w:r>
      <w:r>
        <w:rPr>
          <w:rFonts w:hint="eastAsia" w:cs="宋体"/>
          <w:sz w:val="24"/>
          <w:lang w:bidi="ar"/>
        </w:rPr>
        <w:t>其他数据不允许为空，全部信息补充完整（上面其他的名称、地址、等等其他数据不变更不需要填写）之后选择采购工程师提交，经过审批后后才可以参与招标。</w:t>
      </w:r>
    </w:p>
    <w:p>
      <w:pPr>
        <w:ind w:firstLine="480" w:firstLineChars="200"/>
        <w:rPr>
          <w:sz w:val="24"/>
        </w:rPr>
      </w:pPr>
      <w:r>
        <w:rPr>
          <w:rFonts w:hint="eastAsia" w:cs="宋体"/>
          <w:sz w:val="24"/>
          <w:lang w:bidi="ar"/>
        </w:rPr>
        <w:t>但是注意，如果您无法选择采购工程师，采购工程师可选为空，则说明您家缺失供货类别信息，请退出界面后重新发起优先走供货类别变更增加供货类别！！！审批通过之后再走基本信息变更补充财务数据。截图路径如下</w:t>
      </w:r>
    </w:p>
    <w:p>
      <w:r>
        <w:drawing>
          <wp:inline distT="0" distB="0" distL="114300" distR="114300">
            <wp:extent cx="5426075" cy="2279015"/>
            <wp:effectExtent l="0" t="0" r="3175" b="698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34"/>
                    <a:stretch>
                      <a:fillRect/>
                    </a:stretch>
                  </pic:blipFill>
                  <pic:spPr>
                    <a:xfrm>
                      <a:off x="0" y="0"/>
                      <a:ext cx="5426075" cy="2279015"/>
                    </a:xfrm>
                    <a:prstGeom prst="rect">
                      <a:avLst/>
                    </a:prstGeom>
                    <a:noFill/>
                    <a:ln>
                      <a:noFill/>
                    </a:ln>
                  </pic:spPr>
                </pic:pic>
              </a:graphicData>
            </a:graphic>
          </wp:inline>
        </w:drawing>
      </w:r>
    </w:p>
    <w:p>
      <w:pPr>
        <w:pStyle w:val="15"/>
        <w:widowControl/>
        <w:tabs>
          <w:tab w:val="left" w:pos="312"/>
        </w:tabs>
        <w:spacing w:line="360" w:lineRule="auto"/>
        <w:ind w:firstLine="0"/>
        <w:jc w:val="left"/>
        <w:rPr>
          <w:rFonts w:ascii="宋体" w:cs="宋体"/>
          <w:kern w:val="2"/>
        </w:rPr>
      </w:pPr>
      <w:r>
        <w:drawing>
          <wp:inline distT="0" distB="0" distL="114300" distR="114300">
            <wp:extent cx="5331460" cy="2324100"/>
            <wp:effectExtent l="0" t="0" r="2540" b="0"/>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35"/>
                    <a:stretch>
                      <a:fillRect/>
                    </a:stretch>
                  </pic:blipFill>
                  <pic:spPr>
                    <a:xfrm>
                      <a:off x="0" y="0"/>
                      <a:ext cx="5331460" cy="2324100"/>
                    </a:xfrm>
                    <a:prstGeom prst="rect">
                      <a:avLst/>
                    </a:prstGeom>
                    <a:noFill/>
                    <a:ln>
                      <a:noFill/>
                    </a:ln>
                  </pic:spPr>
                </pic:pic>
              </a:graphicData>
            </a:graphic>
          </wp:inline>
        </w:drawing>
      </w:r>
    </w:p>
    <w:p>
      <w:pPr>
        <w:rPr>
          <w:rFonts w:ascii="宋体" w:hAnsi="宋体"/>
          <w:kern w:val="0"/>
          <w:sz w:val="24"/>
          <w:szCs w:val="21"/>
          <w:lang w:bidi="en-US"/>
        </w:rPr>
      </w:pPr>
    </w:p>
    <w:p>
      <w:pPr>
        <w:pStyle w:val="2"/>
        <w:ind w:left="420" w:firstLine="420"/>
      </w:pPr>
    </w:p>
    <w:p>
      <w:pPr>
        <w:pStyle w:val="4"/>
        <w:ind w:left="420"/>
      </w:pPr>
    </w:p>
    <w:p>
      <w:pPr>
        <w:rPr>
          <w:rFonts w:ascii="宋体" w:hAnsi="宋体"/>
          <w:kern w:val="0"/>
          <w:sz w:val="24"/>
          <w:szCs w:val="21"/>
          <w:lang w:bidi="en-US"/>
        </w:rPr>
      </w:pPr>
    </w:p>
    <w:p>
      <w:pPr>
        <w:pStyle w:val="19"/>
        <w:rPr>
          <w:rFonts w:ascii="宋体" w:hAnsi="宋体" w:eastAsia="宋体"/>
          <w:kern w:val="0"/>
          <w:sz w:val="24"/>
          <w:szCs w:val="21"/>
          <w:lang w:bidi="en-US"/>
        </w:rPr>
        <w:sectPr>
          <w:pgSz w:w="11906" w:h="16838"/>
          <w:pgMar w:top="720" w:right="720" w:bottom="720" w:left="720" w:header="227" w:footer="227" w:gutter="0"/>
          <w:cols w:space="720" w:num="1"/>
          <w:docGrid w:type="lines" w:linePitch="381" w:charSpace="0"/>
        </w:sectPr>
      </w:pPr>
    </w:p>
    <w:p>
      <w:pPr>
        <w:pStyle w:val="6"/>
        <w:jc w:val="center"/>
        <w:rPr>
          <w:i w:val="0"/>
          <w:iCs w:val="0"/>
          <w:sz w:val="32"/>
          <w:szCs w:val="32"/>
        </w:rPr>
      </w:pPr>
      <w:bookmarkStart w:id="24" w:name="_Toc211261899"/>
      <w:r>
        <w:rPr>
          <w:rFonts w:hint="eastAsia"/>
          <w:i w:val="0"/>
          <w:iCs w:val="0"/>
          <w:sz w:val="32"/>
          <w:szCs w:val="32"/>
        </w:rPr>
        <w:t xml:space="preserve">第二章  </w:t>
      </w:r>
      <w:r>
        <w:rPr>
          <w:i w:val="0"/>
          <w:iCs w:val="0"/>
          <w:sz w:val="32"/>
          <w:szCs w:val="32"/>
        </w:rPr>
        <w:t>投标人须知</w:t>
      </w:r>
      <w:bookmarkEnd w:id="6"/>
      <w:bookmarkEnd w:id="7"/>
      <w:bookmarkEnd w:id="24"/>
    </w:p>
    <w:p>
      <w:pPr>
        <w:pStyle w:val="7"/>
        <w:spacing w:before="0" w:after="0"/>
        <w:jc w:val="center"/>
        <w:rPr>
          <w:sz w:val="30"/>
          <w:szCs w:val="30"/>
        </w:rPr>
      </w:pPr>
      <w:bookmarkStart w:id="25" w:name="_Toc211261900"/>
      <w:bookmarkStart w:id="26" w:name="_Toc6745"/>
      <w:bookmarkStart w:id="27" w:name="_Toc17817322"/>
      <w:r>
        <w:rPr>
          <w:sz w:val="30"/>
          <w:szCs w:val="30"/>
        </w:rPr>
        <w:t>投标人须知前附表</w:t>
      </w:r>
      <w:bookmarkEnd w:id="25"/>
      <w:bookmarkEnd w:id="26"/>
      <w:bookmarkEnd w:id="27"/>
    </w:p>
    <w:p>
      <w:pPr>
        <w:spacing w:line="360" w:lineRule="auto"/>
        <w:ind w:firstLine="480" w:firstLineChars="200"/>
        <w:rPr>
          <w:rFonts w:ascii="宋体" w:hAnsi="宋体" w:cs="宋体"/>
          <w:sz w:val="24"/>
        </w:rPr>
      </w:pPr>
      <w:r>
        <w:rPr>
          <w:rFonts w:hint="eastAsia" w:ascii="宋体" w:hAnsi="宋体" w:cs="宋体"/>
          <w:sz w:val="24"/>
        </w:rPr>
        <w:t>本表是对“投标人须知”正文的具体补充和修改，如有不一致，以“前附表”为准。</w:t>
      </w:r>
    </w:p>
    <w:tbl>
      <w:tblPr>
        <w:tblStyle w:val="37"/>
        <w:tblW w:w="5051" w:type="pct"/>
        <w:jc w:val="cente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Layout w:type="autofit"/>
        <w:tblCellMar>
          <w:top w:w="0" w:type="dxa"/>
          <w:left w:w="0" w:type="dxa"/>
          <w:bottom w:w="0" w:type="dxa"/>
          <w:right w:w="0" w:type="dxa"/>
        </w:tblCellMar>
      </w:tblPr>
      <w:tblGrid>
        <w:gridCol w:w="838"/>
        <w:gridCol w:w="2012"/>
        <w:gridCol w:w="6090"/>
      </w:tblGrid>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05" w:hRule="atLeast"/>
          <w:jc w:val="center"/>
        </w:trPr>
        <w:tc>
          <w:tcPr>
            <w:tcW w:w="469" w:type="pct"/>
            <w:tcBorders>
              <w:top w:val="single" w:color="000000" w:sz="12" w:space="0"/>
              <w:left w:val="single" w:color="000000" w:sz="12" w:space="0"/>
              <w:bottom w:val="single" w:color="000000" w:sz="6" w:space="0"/>
              <w:right w:val="single" w:color="000000" w:sz="6" w:space="0"/>
            </w:tcBorders>
            <w:vAlign w:val="center"/>
          </w:tcPr>
          <w:p>
            <w:pPr>
              <w:rPr>
                <w:rStyle w:val="58"/>
                <w:rFonts w:ascii="宋体" w:hAnsi="宋体"/>
                <w:b/>
                <w:szCs w:val="21"/>
              </w:rPr>
            </w:pPr>
            <w:r>
              <w:rPr>
                <w:rStyle w:val="58"/>
                <w:rFonts w:ascii="宋体" w:hAnsi="宋体"/>
                <w:b/>
                <w:szCs w:val="21"/>
              </w:rPr>
              <w:t>条款号</w:t>
            </w:r>
          </w:p>
        </w:tc>
        <w:tc>
          <w:tcPr>
            <w:tcW w:w="1125" w:type="pct"/>
            <w:tcBorders>
              <w:top w:val="single" w:color="000000" w:sz="12" w:space="0"/>
              <w:left w:val="single" w:color="000000" w:sz="6" w:space="0"/>
              <w:bottom w:val="single" w:color="000000" w:sz="6" w:space="0"/>
              <w:right w:val="single" w:color="000000" w:sz="6" w:space="0"/>
            </w:tcBorders>
            <w:vAlign w:val="center"/>
          </w:tcPr>
          <w:p>
            <w:pPr>
              <w:jc w:val="center"/>
              <w:rPr>
                <w:rStyle w:val="58"/>
                <w:rFonts w:ascii="宋体" w:hAnsi="宋体"/>
                <w:b/>
                <w:szCs w:val="21"/>
              </w:rPr>
            </w:pPr>
            <w:r>
              <w:rPr>
                <w:rStyle w:val="58"/>
                <w:rFonts w:ascii="宋体" w:hAnsi="宋体"/>
                <w:b/>
                <w:szCs w:val="21"/>
              </w:rPr>
              <w:t>条款名称</w:t>
            </w:r>
          </w:p>
        </w:tc>
        <w:tc>
          <w:tcPr>
            <w:tcW w:w="3405" w:type="pct"/>
            <w:tcBorders>
              <w:top w:val="single" w:color="000000" w:sz="12" w:space="0"/>
              <w:left w:val="single" w:color="000000" w:sz="6" w:space="0"/>
              <w:bottom w:val="single" w:color="000000" w:sz="6" w:space="0"/>
              <w:right w:val="single" w:color="000000" w:sz="12" w:space="0"/>
            </w:tcBorders>
            <w:vAlign w:val="center"/>
          </w:tcPr>
          <w:p>
            <w:pPr>
              <w:jc w:val="center"/>
              <w:rPr>
                <w:rStyle w:val="58"/>
                <w:rFonts w:ascii="宋体" w:hAnsi="宋体"/>
                <w:b/>
                <w:szCs w:val="21"/>
              </w:rPr>
            </w:pPr>
            <w:r>
              <w:rPr>
                <w:rStyle w:val="58"/>
                <w:rFonts w:ascii="宋体" w:hAnsi="宋体"/>
                <w:b/>
                <w:szCs w:val="21"/>
              </w:rPr>
              <w:t>编  列  内  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1.1.2</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招标人</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Fonts w:ascii="宋体" w:hAnsi="宋体"/>
                <w:szCs w:val="21"/>
              </w:rPr>
            </w:pPr>
            <w:r>
              <w:rPr>
                <w:rFonts w:ascii="宋体" w:hAnsi="宋体"/>
                <w:szCs w:val="21"/>
              </w:rPr>
              <w:t>名</w:t>
            </w:r>
            <w:r>
              <w:rPr>
                <w:rFonts w:hint="eastAsia" w:ascii="宋体" w:hAnsi="宋体"/>
                <w:szCs w:val="21"/>
              </w:rPr>
              <w:t xml:space="preserve">  </w:t>
            </w:r>
            <w:r>
              <w:rPr>
                <w:rFonts w:ascii="宋体" w:hAnsi="宋体"/>
                <w:szCs w:val="21"/>
              </w:rPr>
              <w:t>称：</w:t>
            </w:r>
            <w:r>
              <w:rPr>
                <w:rFonts w:hint="eastAsia" w:ascii="宋体" w:hAnsi="宋体"/>
                <w:szCs w:val="21"/>
              </w:rPr>
              <w:t>中国重汽集团济南动力有限公司</w:t>
            </w:r>
          </w:p>
          <w:p>
            <w:pPr>
              <w:spacing w:line="276" w:lineRule="auto"/>
              <w:rPr>
                <w:rFonts w:hint="eastAsia" w:ascii="宋体" w:hAnsi="宋体" w:eastAsia="宋体" w:cs="宋体"/>
                <w:kern w:val="0"/>
                <w:szCs w:val="21"/>
                <w:lang w:val="en-US" w:eastAsia="zh-CN" w:bidi="en-US"/>
              </w:rPr>
            </w:pPr>
            <w:r>
              <w:rPr>
                <w:rFonts w:hint="eastAsia" w:ascii="宋体" w:hAnsi="宋体"/>
                <w:szCs w:val="21"/>
              </w:rPr>
              <w:t>地  址：</w:t>
            </w:r>
            <w:r>
              <w:rPr>
                <w:rFonts w:ascii="宋体" w:hAnsi="宋体" w:cs="宋体"/>
                <w:kern w:val="0"/>
                <w:szCs w:val="21"/>
                <w:lang w:bidi="en-US"/>
              </w:rPr>
              <w:t xml:space="preserve"> 济南市高新区华奥路777号重汽科技</w:t>
            </w:r>
            <w:r>
              <w:rPr>
                <w:rFonts w:hint="eastAsia" w:ascii="宋体" w:hAnsi="宋体" w:cs="宋体"/>
                <w:kern w:val="0"/>
                <w:szCs w:val="21"/>
                <w:lang w:val="en-US" w:eastAsia="zh-CN" w:bidi="en-US"/>
              </w:rPr>
              <w:t>园区</w:t>
            </w:r>
          </w:p>
          <w:p>
            <w:pPr>
              <w:spacing w:line="276" w:lineRule="auto"/>
              <w:rPr>
                <w:rFonts w:ascii="宋体" w:hAnsi="宋体"/>
                <w:szCs w:val="21"/>
              </w:rPr>
            </w:pPr>
            <w:r>
              <w:rPr>
                <w:rFonts w:hint="eastAsia" w:ascii="宋体" w:hAnsi="宋体"/>
                <w:szCs w:val="21"/>
              </w:rPr>
              <w:t>联系人：</w:t>
            </w:r>
            <w:r>
              <w:rPr>
                <w:rFonts w:ascii="宋体" w:hAnsi="宋体" w:cs="宋体"/>
                <w:kern w:val="0"/>
                <w:szCs w:val="21"/>
                <w:lang w:bidi="en-US"/>
              </w:rPr>
              <w:t xml:space="preserve"> </w:t>
            </w:r>
            <w:r>
              <w:rPr>
                <w:rFonts w:hint="eastAsia" w:ascii="宋体" w:hAnsi="宋体" w:cs="宋体"/>
                <w:kern w:val="0"/>
                <w:szCs w:val="21"/>
                <w:lang w:val="en-US" w:eastAsia="zh-CN" w:bidi="en-US"/>
              </w:rPr>
              <w:t>杨淑超</w:t>
            </w:r>
            <w:r>
              <w:rPr>
                <w:rFonts w:ascii="宋体" w:hAnsi="宋体" w:cs="宋体"/>
                <w:kern w:val="0"/>
                <w:szCs w:val="21"/>
                <w:lang w:bidi="en-US"/>
              </w:rPr>
              <w:t xml:space="preserve">   </w:t>
            </w:r>
          </w:p>
          <w:p>
            <w:pPr>
              <w:spacing w:line="276" w:lineRule="auto"/>
              <w:rPr>
                <w:rStyle w:val="58"/>
                <w:rFonts w:ascii="宋体" w:hAnsi="宋体"/>
              </w:rPr>
            </w:pPr>
            <w:r>
              <w:rPr>
                <w:rFonts w:hint="eastAsia" w:ascii="宋体" w:hAnsi="宋体"/>
                <w:szCs w:val="21"/>
              </w:rPr>
              <w:t>电  话：</w:t>
            </w:r>
            <w:r>
              <w:rPr>
                <w:rFonts w:ascii="宋体" w:hAnsi="宋体" w:cs="宋体"/>
                <w:kern w:val="0"/>
                <w:szCs w:val="21"/>
                <w:lang w:bidi="en-US"/>
              </w:rPr>
              <w:t xml:space="preserve"> </w:t>
            </w:r>
            <w:r>
              <w:rPr>
                <w:rFonts w:hint="eastAsia" w:ascii="宋体" w:hAnsi="宋体" w:cs="宋体"/>
                <w:kern w:val="0"/>
                <w:szCs w:val="21"/>
                <w:lang w:val="en-US" w:eastAsia="zh-CN" w:bidi="en-US"/>
              </w:rPr>
              <w:t>17860605820</w:t>
            </w:r>
            <w:r>
              <w:rPr>
                <w:rFonts w:ascii="宋体" w:hAnsi="宋体" w:cs="宋体"/>
                <w:kern w:val="0"/>
                <w:szCs w:val="21"/>
                <w:lang w:bidi="en-US"/>
              </w:rPr>
              <w:t xml:space="preserve">    </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692"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1.1.4</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项目名称</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hint="eastAsia" w:ascii="宋体" w:hAnsi="宋体"/>
                <w:szCs w:val="21"/>
              </w:rPr>
              <w:t>济南橡塑件公司新能源高压线束车间改造技改项目工程施工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87"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1.1.</w:t>
            </w:r>
            <w:r>
              <w:rPr>
                <w:rStyle w:val="58"/>
                <w:rFonts w:hint="eastAsia" w:ascii="宋体" w:hAnsi="宋体"/>
                <w:szCs w:val="21"/>
              </w:rPr>
              <w:t>5</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建设地点</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hint="eastAsia" w:ascii="宋体" w:hAnsi="宋体"/>
                <w:szCs w:val="21"/>
              </w:rPr>
              <w:t>济南市市中区</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5"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1.2.1</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资金来源</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自筹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9"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1.2.2</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出资比例</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100%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3"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1.2.3</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资金落实情况</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已落实</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atLeas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1.3.1</w:t>
            </w:r>
          </w:p>
        </w:tc>
        <w:tc>
          <w:tcPr>
            <w:tcW w:w="1125" w:type="pct"/>
            <w:tcBorders>
              <w:top w:val="single" w:color="000000" w:sz="6" w:space="0"/>
              <w:left w:val="single" w:color="000000" w:sz="6"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招标范围</w:t>
            </w:r>
          </w:p>
        </w:tc>
        <w:tc>
          <w:tcPr>
            <w:tcW w:w="3405" w:type="pct"/>
            <w:tcBorders>
              <w:top w:val="single" w:color="000000" w:sz="6" w:space="0"/>
              <w:left w:val="single" w:color="000000" w:sz="6" w:space="0"/>
              <w:bottom w:val="single" w:color="000000" w:sz="6" w:space="0"/>
              <w:right w:val="single" w:color="000000" w:sz="12" w:space="0"/>
            </w:tcBorders>
          </w:tcPr>
          <w:p>
            <w:pPr>
              <w:pStyle w:val="18"/>
              <w:rPr>
                <w:rStyle w:val="58"/>
                <w:rFonts w:ascii="宋体" w:hAnsi="宋体"/>
              </w:rPr>
            </w:pPr>
            <w:r>
              <w:rPr>
                <w:rStyle w:val="58"/>
                <w:rFonts w:hint="eastAsia" w:ascii="宋体" w:hAnsi="宋体" w:cs="Times New Roman"/>
                <w:szCs w:val="21"/>
              </w:rPr>
              <w:t>包括但不限于施工图纸范围内的全部工作内容的施工、验收及质量保修，以及招标人新增清单外施工内容等，详见招标文件、图纸及工程量清单。</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1.3.2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Fonts w:ascii="宋体" w:hAnsi="宋体" w:cs="宋体"/>
                <w:b/>
                <w:bCs/>
                <w:szCs w:val="21"/>
              </w:rPr>
            </w:pPr>
            <w:r>
              <w:rPr>
                <w:rStyle w:val="58"/>
                <w:rFonts w:hint="eastAsia" w:ascii="宋体" w:hAnsi="宋体" w:cs="宋体"/>
                <w:b/>
                <w:bCs/>
                <w:szCs w:val="21"/>
                <w:highlight w:val="yellow"/>
              </w:rPr>
              <w:t>计划工期</w:t>
            </w:r>
          </w:p>
        </w:tc>
        <w:tc>
          <w:tcPr>
            <w:tcW w:w="3405" w:type="pct"/>
            <w:tcBorders>
              <w:top w:val="single" w:color="000000" w:sz="6" w:space="0"/>
              <w:left w:val="single" w:color="000000" w:sz="6" w:space="0"/>
              <w:bottom w:val="single" w:color="000000" w:sz="6" w:space="0"/>
              <w:right w:val="single" w:color="000000" w:sz="12" w:space="0"/>
            </w:tcBorders>
          </w:tcPr>
          <w:p>
            <w:pPr>
              <w:spacing w:line="264" w:lineRule="auto"/>
              <w:ind w:firstLine="420" w:firstLineChars="200"/>
            </w:pPr>
            <w:r>
              <w:rPr>
                <w:rFonts w:hint="eastAsia"/>
              </w:rPr>
              <w:t>计划总工期：</w:t>
            </w:r>
            <w:r>
              <w:t>40</w:t>
            </w:r>
            <w:r>
              <w:rPr>
                <w:rFonts w:hint="eastAsia"/>
              </w:rPr>
              <w:t>日历天；</w:t>
            </w:r>
            <w:r>
              <w:t xml:space="preserve"> </w:t>
            </w:r>
          </w:p>
          <w:p>
            <w:pPr>
              <w:spacing w:line="264" w:lineRule="auto"/>
              <w:ind w:firstLine="420" w:firstLineChars="200"/>
            </w:pPr>
            <w:r>
              <w:rPr>
                <w:rFonts w:hint="eastAsia"/>
              </w:rPr>
              <w:t>计划开工日期：（以招标人开工令为准）；</w:t>
            </w:r>
          </w:p>
          <w:p>
            <w:pPr>
              <w:spacing w:line="264" w:lineRule="auto"/>
              <w:ind w:firstLine="420" w:firstLineChars="200"/>
            </w:pPr>
            <w:r>
              <w:rPr>
                <w:rFonts w:hint="eastAsia"/>
              </w:rPr>
              <w:t>计划竣工日期：2025年12月20日</w:t>
            </w:r>
          </w:p>
          <w:p>
            <w:pPr>
              <w:pStyle w:val="2"/>
              <w:spacing w:before="156" w:beforeLines="50" w:after="0" w:line="264" w:lineRule="auto"/>
              <w:ind w:left="0" w:leftChars="0" w:firstLine="422"/>
              <w:rPr>
                <w:b/>
                <w:bCs/>
              </w:rPr>
            </w:pPr>
            <w:r>
              <w:rPr>
                <w:rFonts w:hint="eastAsia"/>
                <w:b/>
                <w:bCs/>
              </w:rPr>
              <w:t>其中关键里程碑节点：</w:t>
            </w:r>
          </w:p>
          <w:p>
            <w:pPr>
              <w:numPr>
                <w:ilvl w:val="0"/>
                <w:numId w:val="5"/>
              </w:numPr>
              <w:spacing w:line="264" w:lineRule="auto"/>
              <w:ind w:firstLine="420" w:firstLineChars="200"/>
            </w:pPr>
            <w:r>
              <w:rPr>
                <w:rFonts w:hint="eastAsia"/>
              </w:rPr>
              <w:t>钢结构进场：开工后10天</w:t>
            </w:r>
          </w:p>
          <w:p>
            <w:pPr>
              <w:numPr>
                <w:ilvl w:val="0"/>
                <w:numId w:val="5"/>
              </w:numPr>
              <w:spacing w:line="264" w:lineRule="auto"/>
              <w:ind w:firstLine="422" w:firstLineChars="200"/>
              <w:rPr>
                <w:b/>
                <w:bCs/>
              </w:rPr>
            </w:pPr>
            <w:r>
              <w:rPr>
                <w:rFonts w:hint="eastAsia"/>
                <w:b/>
                <w:bCs/>
              </w:rPr>
              <w:t>墙板进场：开工后15天</w:t>
            </w:r>
          </w:p>
          <w:p>
            <w:pPr>
              <w:numPr>
                <w:ilvl w:val="0"/>
                <w:numId w:val="5"/>
              </w:numPr>
              <w:spacing w:line="264" w:lineRule="auto"/>
              <w:ind w:firstLine="420" w:firstLineChars="200"/>
            </w:pPr>
            <w:r>
              <w:rPr>
                <w:rFonts w:hint="eastAsia"/>
              </w:rPr>
              <w:t>墙板屋面板封闭：开工后20天</w:t>
            </w:r>
          </w:p>
          <w:p>
            <w:pPr>
              <w:numPr>
                <w:ilvl w:val="0"/>
                <w:numId w:val="5"/>
              </w:numPr>
              <w:spacing w:line="264" w:lineRule="auto"/>
              <w:ind w:firstLine="420" w:firstLineChars="200"/>
            </w:pPr>
            <w:r>
              <w:rPr>
                <w:rFonts w:hint="eastAsia"/>
              </w:rPr>
              <w:t>空调设备进场：开工后30天</w:t>
            </w:r>
          </w:p>
          <w:p>
            <w:pPr>
              <w:numPr>
                <w:ilvl w:val="0"/>
                <w:numId w:val="5"/>
              </w:numPr>
              <w:spacing w:line="264" w:lineRule="auto"/>
              <w:ind w:firstLine="420" w:firstLineChars="200"/>
            </w:pPr>
            <w:r>
              <w:rPr>
                <w:rFonts w:hint="eastAsia"/>
              </w:rPr>
              <w:t>竣工：开工后40天</w:t>
            </w:r>
          </w:p>
          <w:p>
            <w:pPr>
              <w:spacing w:before="156" w:beforeLines="50" w:line="264" w:lineRule="auto"/>
              <w:ind w:firstLine="420" w:firstLineChars="200"/>
            </w:pPr>
            <w:r>
              <w:rPr>
                <w:rFonts w:hint="eastAsia"/>
              </w:rPr>
              <w:t>空调设备采购，为了满足供货周期优先使用市场现货设备，现货设备可以正偏离设计参数，相应成本增加综合考虑到投标报价中，不做调整。</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1.3.3</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400" w:lineRule="exact"/>
              <w:rPr>
                <w:rStyle w:val="58"/>
                <w:rFonts w:ascii="宋体" w:hAnsi="宋体"/>
                <w:szCs w:val="21"/>
              </w:rPr>
            </w:pPr>
            <w:r>
              <w:rPr>
                <w:rStyle w:val="58"/>
                <w:rFonts w:ascii="宋体" w:hAnsi="宋体"/>
                <w:szCs w:val="21"/>
              </w:rPr>
              <w:t>质量要求</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质量标准：</w:t>
            </w:r>
            <w:r>
              <w:rPr>
                <w:rStyle w:val="58"/>
                <w:rFonts w:ascii="宋体" w:hAnsi="宋体"/>
                <w:szCs w:val="21"/>
                <w:u w:val="single"/>
              </w:rPr>
              <w:t>合格</w:t>
            </w:r>
            <w:r>
              <w:rPr>
                <w:rStyle w:val="58"/>
                <w:rFonts w:ascii="宋体" w:hAnsi="宋体"/>
                <w:szCs w:val="21"/>
              </w:rPr>
              <w:t>；</w:t>
            </w:r>
          </w:p>
          <w:p>
            <w:pPr>
              <w:spacing w:line="276" w:lineRule="auto"/>
              <w:rPr>
                <w:rStyle w:val="58"/>
                <w:rFonts w:ascii="宋体" w:hAnsi="宋体"/>
                <w:szCs w:val="21"/>
              </w:rPr>
            </w:pPr>
            <w:r>
              <w:rPr>
                <w:rStyle w:val="58"/>
                <w:rFonts w:ascii="宋体" w:hAnsi="宋体"/>
                <w:szCs w:val="21"/>
              </w:rPr>
              <w:t>关于质量要求的详细说明见第七章“技术标准和要求”。</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469" w:type="pct"/>
            <w:vMerge w:val="restar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1.4.1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400" w:lineRule="exact"/>
              <w:rPr>
                <w:rStyle w:val="58"/>
                <w:rFonts w:ascii="宋体" w:hAnsi="宋体"/>
                <w:szCs w:val="21"/>
              </w:rPr>
            </w:pPr>
            <w:r>
              <w:rPr>
                <w:rStyle w:val="58"/>
                <w:rFonts w:ascii="宋体" w:hAnsi="宋体"/>
                <w:szCs w:val="21"/>
              </w:rPr>
              <w:t>投标人资格</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Fonts w:ascii="宋体" w:hAnsi="宋体"/>
                <w:szCs w:val="21"/>
              </w:rPr>
            </w:pPr>
            <w:r>
              <w:rPr>
                <w:rFonts w:hint="eastAsia" w:ascii="宋体" w:hAnsi="宋体"/>
                <w:szCs w:val="21"/>
              </w:rPr>
              <w:t>1.资质条件：详见招标公告；</w:t>
            </w:r>
          </w:p>
          <w:p>
            <w:pPr>
              <w:spacing w:line="276" w:lineRule="auto"/>
              <w:rPr>
                <w:rFonts w:ascii="宋体" w:hAnsi="宋体"/>
                <w:szCs w:val="21"/>
              </w:rPr>
            </w:pPr>
            <w:r>
              <w:rPr>
                <w:rFonts w:hint="eastAsia" w:ascii="宋体" w:hAnsi="宋体"/>
                <w:szCs w:val="21"/>
              </w:rPr>
              <w:t>2.财务要求：详见招标公告；</w:t>
            </w:r>
          </w:p>
          <w:p>
            <w:pPr>
              <w:spacing w:line="276" w:lineRule="auto"/>
              <w:rPr>
                <w:rFonts w:ascii="宋体" w:hAnsi="宋体"/>
                <w:szCs w:val="21"/>
              </w:rPr>
            </w:pPr>
            <w:r>
              <w:rPr>
                <w:rFonts w:hint="eastAsia" w:ascii="宋体" w:hAnsi="宋体"/>
                <w:szCs w:val="21"/>
              </w:rPr>
              <w:t>3.信誉要求：详见招标公告；</w:t>
            </w:r>
          </w:p>
          <w:p>
            <w:pPr>
              <w:spacing w:line="276" w:lineRule="auto"/>
              <w:rPr>
                <w:rStyle w:val="58"/>
                <w:rFonts w:ascii="宋体" w:hAnsi="宋体"/>
                <w:b/>
                <w:szCs w:val="21"/>
              </w:rPr>
            </w:pPr>
            <w:r>
              <w:rPr>
                <w:rFonts w:hint="eastAsia" w:ascii="宋体" w:hAnsi="宋体"/>
                <w:szCs w:val="21"/>
              </w:rPr>
              <w:t>4.拟派项目经理资格要求：详见招标公告；</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469" w:type="pct"/>
            <w:vMerge w:val="continue"/>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近年财务状况的年份要求</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hint="eastAsia" w:ascii="宋体" w:hAnsi="宋体"/>
                <w:szCs w:val="21"/>
                <w:u w:val="single"/>
              </w:rPr>
              <w:t>2022、2023、2024年</w:t>
            </w:r>
            <w:r>
              <w:rPr>
                <w:rStyle w:val="58"/>
                <w:rFonts w:hint="eastAsia" w:ascii="宋体" w:hAnsi="宋体"/>
                <w:szCs w:val="21"/>
              </w:rPr>
              <w:t>，要求包含企业最近半年完税证明、信用证明材料（中国人民银行信用报告）；年度纳税信用评价信息（可从电子税务局查询截图）；企业对外担保说明（写明贵单位对外有无对外担保和质押业务）</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469" w:type="pct"/>
            <w:vMerge w:val="continue"/>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近年承担的类似工程的年份要求</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u w:val="single"/>
              </w:rPr>
              <w:t xml:space="preserve"> 三 </w:t>
            </w:r>
            <w:r>
              <w:rPr>
                <w:rStyle w:val="58"/>
                <w:rFonts w:ascii="宋体" w:hAnsi="宋体"/>
                <w:szCs w:val="21"/>
              </w:rPr>
              <w:t>年，指</w:t>
            </w:r>
            <w:r>
              <w:rPr>
                <w:rStyle w:val="58"/>
                <w:rFonts w:ascii="宋体" w:hAnsi="宋体"/>
                <w:szCs w:val="21"/>
                <w:u w:val="single"/>
              </w:rPr>
              <w:t>20</w:t>
            </w:r>
            <w:r>
              <w:rPr>
                <w:rStyle w:val="58"/>
                <w:rFonts w:hint="eastAsia" w:ascii="宋体" w:hAnsi="宋体"/>
                <w:szCs w:val="21"/>
                <w:u w:val="single"/>
              </w:rPr>
              <w:t>2</w:t>
            </w:r>
            <w:r>
              <w:rPr>
                <w:rStyle w:val="58"/>
                <w:rFonts w:ascii="宋体" w:hAnsi="宋体"/>
                <w:szCs w:val="21"/>
                <w:u w:val="single"/>
              </w:rPr>
              <w:t>2</w:t>
            </w:r>
            <w:r>
              <w:rPr>
                <w:rStyle w:val="58"/>
                <w:rFonts w:ascii="宋体" w:hAnsi="宋体"/>
                <w:szCs w:val="21"/>
              </w:rPr>
              <w:t>年</w:t>
            </w:r>
            <w:r>
              <w:rPr>
                <w:rStyle w:val="58"/>
                <w:rFonts w:ascii="宋体" w:hAnsi="宋体"/>
                <w:szCs w:val="21"/>
                <w:u w:val="single"/>
              </w:rPr>
              <w:t>10</w:t>
            </w:r>
            <w:r>
              <w:rPr>
                <w:rStyle w:val="58"/>
                <w:rFonts w:ascii="宋体" w:hAnsi="宋体"/>
                <w:szCs w:val="21"/>
              </w:rPr>
              <w:t>月</w:t>
            </w:r>
            <w:r>
              <w:rPr>
                <w:rStyle w:val="58"/>
                <w:rFonts w:ascii="宋体" w:hAnsi="宋体"/>
                <w:szCs w:val="21"/>
                <w:u w:val="single"/>
              </w:rPr>
              <w:t>1</w:t>
            </w:r>
            <w:r>
              <w:rPr>
                <w:rStyle w:val="58"/>
                <w:rFonts w:ascii="宋体" w:hAnsi="宋体"/>
                <w:szCs w:val="21"/>
              </w:rPr>
              <w:t>日至开标之日（以合同签订时间为准）。</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469" w:type="pct"/>
            <w:vMerge w:val="continue"/>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近年发生的诉讼及仲裁情况的年份要求</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u w:val="single"/>
              </w:rPr>
              <w:t xml:space="preserve"> 三 </w:t>
            </w:r>
            <w:r>
              <w:rPr>
                <w:rStyle w:val="58"/>
                <w:rFonts w:ascii="宋体" w:hAnsi="宋体"/>
                <w:szCs w:val="21"/>
              </w:rPr>
              <w:t>年，指</w:t>
            </w:r>
            <w:r>
              <w:rPr>
                <w:rStyle w:val="58"/>
                <w:rFonts w:ascii="宋体" w:hAnsi="宋体"/>
                <w:szCs w:val="21"/>
                <w:u w:val="single"/>
              </w:rPr>
              <w:t>20</w:t>
            </w:r>
            <w:r>
              <w:rPr>
                <w:rStyle w:val="58"/>
                <w:rFonts w:hint="eastAsia" w:ascii="宋体" w:hAnsi="宋体"/>
                <w:szCs w:val="21"/>
                <w:u w:val="single"/>
              </w:rPr>
              <w:t>2</w:t>
            </w:r>
            <w:r>
              <w:rPr>
                <w:rStyle w:val="58"/>
                <w:rFonts w:ascii="宋体" w:hAnsi="宋体"/>
                <w:szCs w:val="21"/>
                <w:u w:val="single"/>
              </w:rPr>
              <w:t>2</w:t>
            </w:r>
            <w:r>
              <w:rPr>
                <w:rStyle w:val="58"/>
                <w:rFonts w:ascii="宋体" w:hAnsi="宋体"/>
                <w:szCs w:val="21"/>
              </w:rPr>
              <w:t>年</w:t>
            </w:r>
            <w:r>
              <w:rPr>
                <w:rStyle w:val="58"/>
                <w:rFonts w:ascii="宋体" w:hAnsi="宋体"/>
                <w:szCs w:val="21"/>
                <w:u w:val="single"/>
              </w:rPr>
              <w:t>10</w:t>
            </w:r>
            <w:r>
              <w:rPr>
                <w:rStyle w:val="58"/>
                <w:rFonts w:ascii="宋体" w:hAnsi="宋体"/>
                <w:szCs w:val="21"/>
              </w:rPr>
              <w:t>月</w:t>
            </w:r>
            <w:r>
              <w:rPr>
                <w:rStyle w:val="58"/>
                <w:rFonts w:ascii="宋体" w:hAnsi="宋体"/>
                <w:szCs w:val="21"/>
                <w:u w:val="single"/>
              </w:rPr>
              <w:t>1</w:t>
            </w:r>
            <w:r>
              <w:rPr>
                <w:rStyle w:val="58"/>
                <w:rFonts w:ascii="宋体" w:hAnsi="宋体"/>
                <w:szCs w:val="21"/>
              </w:rPr>
              <w:t>日至开标之日。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cantSplit/>
          <w:jc w:val="center"/>
        </w:trPr>
        <w:tc>
          <w:tcPr>
            <w:tcW w:w="469" w:type="pct"/>
            <w:vMerge w:val="continue"/>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是否允许递交备选投标方案</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u w:val="single"/>
              </w:rPr>
            </w:pPr>
            <w:r>
              <w:rPr>
                <w:rStyle w:val="58"/>
                <w:rFonts w:ascii="宋体" w:hAnsi="宋体"/>
                <w:szCs w:val="21"/>
              </w:rPr>
              <w:t>不允许</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1.4.2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是否接受联合体投标</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不接受</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247" w:hRule="atLeas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1.9</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踏勘现场</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Fonts w:ascii="宋体" w:hAnsi="宋体"/>
                <w:szCs w:val="21"/>
              </w:rPr>
            </w:pPr>
            <w:r>
              <w:rPr>
                <w:rFonts w:hint="eastAsia" w:ascii="宋体" w:hAnsi="宋体"/>
                <w:szCs w:val="21"/>
              </w:rPr>
              <w:t>组织统一踏勘，时间：</w:t>
            </w:r>
            <w:r>
              <w:rPr>
                <w:rFonts w:hint="eastAsia" w:ascii="宋体" w:hAnsi="宋体"/>
                <w:szCs w:val="21"/>
                <w:highlight w:val="yellow"/>
                <w:u w:val="single"/>
                <w:lang w:val="en-US" w:eastAsia="zh-CN"/>
              </w:rPr>
              <w:t>2025年10月24日</w:t>
            </w:r>
            <w:r>
              <w:rPr>
                <w:rFonts w:hint="eastAsia" w:ascii="宋体" w:hAnsi="宋体"/>
                <w:szCs w:val="21"/>
              </w:rPr>
              <w:t>，请自行前往，提前对接踏勘联系人进行入厂报备。</w:t>
            </w:r>
          </w:p>
          <w:p>
            <w:pPr>
              <w:spacing w:line="276" w:lineRule="auto"/>
              <w:rPr>
                <w:rStyle w:val="58"/>
                <w:rFonts w:ascii="宋体" w:hAnsi="宋体"/>
                <w:szCs w:val="21"/>
              </w:rPr>
            </w:pPr>
            <w:r>
              <w:rPr>
                <w:rStyle w:val="58"/>
                <w:rFonts w:hint="eastAsia" w:ascii="宋体" w:hAnsi="宋体"/>
                <w:szCs w:val="21"/>
              </w:rPr>
              <w:t>如因对现场情况了解、考虑不周造成的投标风险和一切后果由投标人自行承担。</w:t>
            </w:r>
          </w:p>
          <w:p>
            <w:pPr>
              <w:spacing w:line="276" w:lineRule="auto"/>
              <w:rPr>
                <w:rStyle w:val="58"/>
                <w:rFonts w:ascii="宋体" w:hAnsi="宋体"/>
                <w:szCs w:val="21"/>
                <w:u w:val="single"/>
              </w:rPr>
            </w:pPr>
            <w:r>
              <w:rPr>
                <w:rStyle w:val="58"/>
                <w:rFonts w:ascii="宋体" w:hAnsi="宋体"/>
                <w:szCs w:val="21"/>
                <w:highlight w:val="yellow"/>
              </w:rPr>
              <w:t>踏勘联系人：</w:t>
            </w:r>
            <w:r>
              <w:rPr>
                <w:rFonts w:hint="eastAsia" w:cs="宋体"/>
                <w:sz w:val="24"/>
                <w:highlight w:val="yellow"/>
                <w:u w:val="single"/>
              </w:rPr>
              <w:t xml:space="preserve"> </w:t>
            </w:r>
            <w:r>
              <w:rPr>
                <w:rStyle w:val="58"/>
                <w:rFonts w:hint="eastAsia" w:ascii="宋体" w:hAnsi="宋体"/>
                <w:szCs w:val="21"/>
                <w:highlight w:val="yellow"/>
                <w:u w:val="single"/>
              </w:rPr>
              <w:t xml:space="preserve"> 王利强</w:t>
            </w:r>
            <w:r>
              <w:rPr>
                <w:rFonts w:hint="eastAsia" w:cs="宋体"/>
                <w:sz w:val="24"/>
                <w:highlight w:val="yellow"/>
                <w:u w:val="single"/>
              </w:rPr>
              <w:t xml:space="preserve"> </w:t>
            </w:r>
            <w:r>
              <w:rPr>
                <w:rFonts w:cs="宋体"/>
                <w:sz w:val="24"/>
                <w:highlight w:val="yellow"/>
                <w:u w:val="single"/>
              </w:rPr>
              <w:t xml:space="preserve"> </w:t>
            </w:r>
            <w:r>
              <w:rPr>
                <w:rStyle w:val="58"/>
                <w:rFonts w:ascii="宋体" w:hAnsi="宋体"/>
                <w:szCs w:val="21"/>
                <w:highlight w:val="yellow"/>
              </w:rPr>
              <w:t>，联系电话：</w:t>
            </w:r>
            <w:r>
              <w:rPr>
                <w:rStyle w:val="58"/>
                <w:rFonts w:hint="eastAsia" w:ascii="宋体" w:hAnsi="宋体"/>
                <w:szCs w:val="21"/>
                <w:highlight w:val="yellow"/>
                <w:u w:val="single"/>
              </w:rPr>
              <w:t xml:space="preserve"> </w:t>
            </w:r>
            <w:r>
              <w:rPr>
                <w:rStyle w:val="58"/>
                <w:rFonts w:ascii="宋体" w:hAnsi="宋体"/>
                <w:szCs w:val="21"/>
                <w:highlight w:val="yellow"/>
                <w:u w:val="single"/>
              </w:rPr>
              <w:t>13954153180</w:t>
            </w:r>
            <w:r>
              <w:rPr>
                <w:rStyle w:val="58"/>
                <w:rFonts w:hint="eastAsia" w:ascii="宋体" w:hAnsi="宋体"/>
                <w:szCs w:val="21"/>
                <w:highlight w:val="yellow"/>
                <w:u w:val="single"/>
              </w:rPr>
              <w:t xml:space="preserve"> </w:t>
            </w:r>
            <w:r>
              <w:rPr>
                <w:rStyle w:val="58"/>
                <w:rFonts w:hint="eastAsia" w:ascii="宋体" w:hAnsi="宋体"/>
                <w:szCs w:val="21"/>
                <w:highlight w:val="yellow"/>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31" w:hRule="atLeas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1.10</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投标预备会</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不召开</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1.11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工程分包</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原则上不允许，如需专业分包须经招标人审核同意</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12" w:space="0"/>
              <w:right w:val="single" w:color="000000" w:sz="6" w:space="0"/>
            </w:tcBorders>
            <w:vAlign w:val="center"/>
          </w:tcPr>
          <w:p>
            <w:pPr>
              <w:rPr>
                <w:rStyle w:val="58"/>
                <w:rFonts w:ascii="宋体" w:hAnsi="宋体"/>
                <w:szCs w:val="21"/>
              </w:rPr>
            </w:pPr>
            <w:r>
              <w:rPr>
                <w:rStyle w:val="58"/>
                <w:rFonts w:ascii="宋体" w:hAnsi="宋体"/>
                <w:szCs w:val="21"/>
              </w:rPr>
              <w:t>1.12</w:t>
            </w:r>
          </w:p>
        </w:tc>
        <w:tc>
          <w:tcPr>
            <w:tcW w:w="1125" w:type="pct"/>
            <w:tcBorders>
              <w:top w:val="single" w:color="000000" w:sz="6" w:space="0"/>
              <w:left w:val="single" w:color="000000" w:sz="6" w:space="0"/>
              <w:bottom w:val="single" w:color="000000" w:sz="12"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偏离</w:t>
            </w:r>
          </w:p>
        </w:tc>
        <w:tc>
          <w:tcPr>
            <w:tcW w:w="3405" w:type="pct"/>
            <w:tcBorders>
              <w:top w:val="single" w:color="000000" w:sz="6" w:space="0"/>
              <w:left w:val="single" w:color="000000" w:sz="6" w:space="0"/>
              <w:bottom w:val="single" w:color="000000" w:sz="12"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不允许</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12"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2.1</w:t>
            </w:r>
          </w:p>
        </w:tc>
        <w:tc>
          <w:tcPr>
            <w:tcW w:w="1125" w:type="pct"/>
            <w:tcBorders>
              <w:top w:val="single" w:color="000000" w:sz="12"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构成招标文件的其他材料</w:t>
            </w:r>
          </w:p>
        </w:tc>
        <w:tc>
          <w:tcPr>
            <w:tcW w:w="3405" w:type="pct"/>
            <w:tcBorders>
              <w:top w:val="single" w:color="000000" w:sz="12"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shd w:val="pct10" w:color="auto" w:fill="FFFFFF"/>
              </w:rPr>
            </w:pPr>
            <w:r>
              <w:rPr>
                <w:rStyle w:val="58"/>
                <w:rFonts w:ascii="宋体" w:hAnsi="宋体"/>
                <w:szCs w:val="21"/>
              </w:rPr>
              <w:t>本项目的招标答疑文件及补充通知（如有）</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2.2.1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投标人要求澄清招标文件</w:t>
            </w:r>
            <w:r>
              <w:rPr>
                <w:rStyle w:val="58"/>
                <w:rFonts w:hint="eastAsia" w:ascii="宋体" w:hAnsi="宋体"/>
                <w:szCs w:val="21"/>
              </w:rPr>
              <w:t>/提出疑问</w:t>
            </w:r>
            <w:r>
              <w:rPr>
                <w:rStyle w:val="58"/>
                <w:rFonts w:ascii="宋体" w:hAnsi="宋体"/>
                <w:szCs w:val="21"/>
              </w:rPr>
              <w:t>的截止时间</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u w:val="single"/>
              </w:rPr>
            </w:pPr>
            <w:r>
              <w:rPr>
                <w:rFonts w:hint="eastAsia" w:ascii="宋体" w:hAnsi="宋体"/>
                <w:szCs w:val="21"/>
                <w:highlight w:val="yellow"/>
              </w:rPr>
              <w:t>202</w:t>
            </w:r>
            <w:r>
              <w:rPr>
                <w:rFonts w:ascii="宋体" w:hAnsi="宋体"/>
                <w:szCs w:val="21"/>
                <w:highlight w:val="yellow"/>
              </w:rPr>
              <w:t>5</w:t>
            </w:r>
            <w:r>
              <w:rPr>
                <w:rFonts w:hint="eastAsia" w:ascii="宋体" w:hAnsi="宋体"/>
                <w:szCs w:val="21"/>
                <w:highlight w:val="yellow"/>
              </w:rPr>
              <w:t>年</w:t>
            </w:r>
            <w:r>
              <w:rPr>
                <w:rFonts w:hint="eastAsia" w:ascii="宋体" w:hAnsi="宋体"/>
                <w:szCs w:val="21"/>
                <w:highlight w:val="yellow"/>
                <w:lang w:val="en-US" w:eastAsia="zh-CN"/>
              </w:rPr>
              <w:t>10</w:t>
            </w:r>
            <w:r>
              <w:rPr>
                <w:rFonts w:hint="eastAsia" w:ascii="宋体" w:hAnsi="宋体"/>
                <w:szCs w:val="21"/>
                <w:highlight w:val="yellow"/>
              </w:rPr>
              <w:t>月</w:t>
            </w:r>
            <w:r>
              <w:rPr>
                <w:rFonts w:hint="eastAsia" w:ascii="宋体" w:hAnsi="宋体"/>
                <w:szCs w:val="21"/>
                <w:highlight w:val="yellow"/>
                <w:lang w:val="en-US" w:eastAsia="zh-CN"/>
              </w:rPr>
              <w:t>28</w:t>
            </w:r>
            <w:r>
              <w:rPr>
                <w:rFonts w:hint="eastAsia" w:ascii="宋体" w:hAnsi="宋体"/>
                <w:szCs w:val="21"/>
                <w:highlight w:val="yellow"/>
              </w:rPr>
              <w:t>日</w:t>
            </w:r>
            <w:r>
              <w:rPr>
                <w:rStyle w:val="58"/>
                <w:rFonts w:ascii="宋体" w:hAnsi="宋体"/>
                <w:szCs w:val="21"/>
                <w:highlight w:val="yellow"/>
                <w:u w:val="single"/>
              </w:rPr>
              <w:t>17</w:t>
            </w:r>
            <w:r>
              <w:rPr>
                <w:rStyle w:val="58"/>
                <w:rFonts w:hint="eastAsia" w:ascii="宋体" w:hAnsi="宋体"/>
                <w:szCs w:val="21"/>
                <w:highlight w:val="yellow"/>
                <w:u w:val="single"/>
              </w:rPr>
              <w:t>:</w:t>
            </w:r>
            <w:r>
              <w:rPr>
                <w:rStyle w:val="58"/>
                <w:rFonts w:ascii="宋体" w:hAnsi="宋体"/>
                <w:szCs w:val="21"/>
                <w:highlight w:val="yellow"/>
                <w:u w:val="single"/>
              </w:rPr>
              <w:t>00前</w:t>
            </w:r>
            <w:r>
              <w:rPr>
                <w:rStyle w:val="58"/>
                <w:rFonts w:ascii="宋体" w:hAnsi="宋体"/>
                <w:szCs w:val="21"/>
                <w:u w:val="single"/>
              </w:rPr>
              <w:t>，</w:t>
            </w:r>
            <w:r>
              <w:rPr>
                <w:rStyle w:val="58"/>
                <w:rFonts w:ascii="宋体" w:hAnsi="宋体"/>
                <w:szCs w:val="21"/>
              </w:rPr>
              <w:t>发电子邮件（WORD版及加盖公章的扫描件）至</w:t>
            </w:r>
            <w:r>
              <w:rPr>
                <w:rFonts w:ascii="宋体" w:hAnsi="宋体" w:eastAsia="宋体" w:cs="宋体"/>
                <w:sz w:val="24"/>
                <w:szCs w:val="24"/>
              </w:rPr>
              <w:t>gst777@foxmail.com</w:t>
            </w:r>
            <w:r>
              <w:rPr>
                <w:rStyle w:val="58"/>
                <w:rFonts w:ascii="宋体" w:hAnsi="宋体"/>
                <w:szCs w:val="21"/>
              </w:rPr>
              <w:t>，并电话通知</w:t>
            </w:r>
            <w:r>
              <w:rPr>
                <w:rStyle w:val="58"/>
                <w:rFonts w:hint="eastAsia" w:ascii="宋体" w:hAnsi="宋体"/>
                <w:szCs w:val="21"/>
              </w:rPr>
              <w:t>工作人员查收</w:t>
            </w:r>
            <w:r>
              <w:rPr>
                <w:rStyle w:val="58"/>
                <w:rFonts w:hint="eastAsia" w:ascii="宋体" w:hAnsi="宋体"/>
                <w:szCs w:val="21"/>
                <w:lang w:eastAsia="en-US"/>
              </w:rPr>
              <w:t>（联系人：</w:t>
            </w:r>
            <w:r>
              <w:rPr>
                <w:rFonts w:hint="eastAsia" w:ascii="宋体" w:hAnsi="宋体"/>
                <w:szCs w:val="21"/>
              </w:rPr>
              <w:t>葛舒婷</w:t>
            </w:r>
            <w:r>
              <w:rPr>
                <w:rStyle w:val="58"/>
                <w:rFonts w:hint="eastAsia" w:ascii="宋体" w:hAnsi="宋体"/>
                <w:szCs w:val="21"/>
                <w:lang w:eastAsia="en-US"/>
              </w:rPr>
              <w:t>；联系方式：</w:t>
            </w:r>
            <w:r>
              <w:rPr>
                <w:rFonts w:hint="eastAsia" w:ascii="宋体" w:hAnsi="宋体"/>
                <w:szCs w:val="21"/>
              </w:rPr>
              <w:t>18560151676</w:t>
            </w:r>
            <w:r>
              <w:rPr>
                <w:rStyle w:val="58"/>
                <w:rFonts w:hint="eastAsia" w:ascii="宋体" w:hAnsi="宋体"/>
                <w:szCs w:val="21"/>
                <w:lang w:eastAsia="en-US"/>
              </w:rPr>
              <w:t>）</w:t>
            </w:r>
            <w:r>
              <w:rPr>
                <w:rStyle w:val="58"/>
                <w:rFonts w:hint="eastAsia" w:ascii="宋体" w:hAnsi="宋体"/>
                <w:szCs w:val="21"/>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67"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2.2.2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投标截止时间</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u w:val="single"/>
              </w:rPr>
            </w:pPr>
            <w:r>
              <w:rPr>
                <w:rFonts w:hint="eastAsia" w:ascii="宋体" w:hAnsi="宋体"/>
                <w:szCs w:val="21"/>
                <w:highlight w:val="yellow"/>
              </w:rPr>
              <w:t>202</w:t>
            </w:r>
            <w:r>
              <w:rPr>
                <w:rFonts w:ascii="宋体" w:hAnsi="宋体"/>
                <w:szCs w:val="21"/>
                <w:highlight w:val="yellow"/>
              </w:rPr>
              <w:t>5</w:t>
            </w:r>
            <w:r>
              <w:rPr>
                <w:rFonts w:hint="eastAsia" w:ascii="宋体" w:hAnsi="宋体"/>
                <w:szCs w:val="21"/>
                <w:highlight w:val="yellow"/>
              </w:rPr>
              <w:t>年</w:t>
            </w:r>
            <w:r>
              <w:rPr>
                <w:rFonts w:hint="eastAsia" w:ascii="宋体" w:hAnsi="宋体"/>
                <w:szCs w:val="21"/>
                <w:highlight w:val="yellow"/>
                <w:lang w:val="en-US" w:eastAsia="zh-CN"/>
              </w:rPr>
              <w:t>11</w:t>
            </w:r>
            <w:r>
              <w:rPr>
                <w:rFonts w:hint="eastAsia" w:ascii="宋体" w:hAnsi="宋体"/>
                <w:szCs w:val="21"/>
                <w:highlight w:val="yellow"/>
              </w:rPr>
              <w:t>月</w:t>
            </w:r>
            <w:r>
              <w:rPr>
                <w:rFonts w:hint="eastAsia" w:ascii="宋体" w:hAnsi="宋体"/>
                <w:szCs w:val="21"/>
                <w:highlight w:val="yellow"/>
                <w:lang w:val="en-US" w:eastAsia="zh-CN"/>
              </w:rPr>
              <w:t>14</w:t>
            </w:r>
            <w:r>
              <w:rPr>
                <w:rFonts w:hint="eastAsia" w:ascii="宋体" w:hAnsi="宋体"/>
                <w:szCs w:val="21"/>
                <w:highlight w:val="yellow"/>
              </w:rPr>
              <w:t>日</w:t>
            </w:r>
            <w:r>
              <w:rPr>
                <w:rStyle w:val="58"/>
                <w:rFonts w:hint="eastAsia" w:ascii="宋体" w:hAnsi="宋体"/>
                <w:szCs w:val="21"/>
                <w:highlight w:val="yellow"/>
                <w:u w:val="single"/>
                <w:lang w:val="en-US" w:eastAsia="zh-CN"/>
              </w:rPr>
              <w:t>8</w:t>
            </w:r>
            <w:bookmarkStart w:id="243" w:name="_GoBack"/>
            <w:bookmarkEnd w:id="243"/>
            <w:r>
              <w:rPr>
                <w:rStyle w:val="58"/>
                <w:rFonts w:hint="eastAsia" w:ascii="宋体" w:hAnsi="宋体"/>
                <w:szCs w:val="21"/>
                <w:highlight w:val="yellow"/>
                <w:u w:val="single"/>
              </w:rPr>
              <w:t>:</w:t>
            </w:r>
            <w:r>
              <w:rPr>
                <w:rStyle w:val="58"/>
                <w:rFonts w:ascii="宋体" w:hAnsi="宋体"/>
                <w:szCs w:val="21"/>
                <w:highlight w:val="yellow"/>
                <w:u w:val="single"/>
              </w:rPr>
              <w:t>00</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2.2.3</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投标人确认收到招标文件澄清的时间及方式</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ind w:left="-2" w:leftChars="-1" w:firstLine="2" w:firstLineChars="1"/>
              <w:rPr>
                <w:rStyle w:val="58"/>
                <w:rFonts w:ascii="宋体" w:hAnsi="宋体"/>
                <w:szCs w:val="21"/>
                <w:u w:val="single"/>
              </w:rPr>
            </w:pPr>
            <w:r>
              <w:rPr>
                <w:rStyle w:val="58"/>
                <w:rFonts w:ascii="宋体" w:hAnsi="宋体"/>
                <w:szCs w:val="21"/>
              </w:rPr>
              <w:t>在收到相应澄清文件后</w:t>
            </w:r>
            <w:r>
              <w:rPr>
                <w:rStyle w:val="58"/>
                <w:rFonts w:ascii="宋体" w:hAnsi="宋体"/>
                <w:szCs w:val="21"/>
                <w:u w:val="single"/>
              </w:rPr>
              <w:t>24</w:t>
            </w:r>
            <w:r>
              <w:rPr>
                <w:rStyle w:val="58"/>
                <w:rFonts w:ascii="宋体" w:hAnsi="宋体"/>
                <w:szCs w:val="21"/>
              </w:rPr>
              <w:t>小时内；在回执单上盖上单位公章，以书面方式回执。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2.3.2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投标人确认收到招标文件修改的时间及方式</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在收到相应修改文件后</w:t>
            </w:r>
            <w:r>
              <w:rPr>
                <w:rStyle w:val="58"/>
                <w:rFonts w:ascii="宋体" w:hAnsi="宋体"/>
                <w:szCs w:val="21"/>
                <w:u w:val="single"/>
              </w:rPr>
              <w:t>24</w:t>
            </w:r>
            <w:r>
              <w:rPr>
                <w:rStyle w:val="58"/>
                <w:rFonts w:ascii="宋体" w:hAnsi="宋体"/>
                <w:szCs w:val="21"/>
              </w:rPr>
              <w:t>小时内；在回执单上盖上单位公章，以书面方式回执。</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3.1.1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构成投标文件的其他材料</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投标人的澄清及承诺（如果有）</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55" w:hRule="atLeas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3.3.1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投标有效期</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u w:val="single"/>
              </w:rPr>
              <w:t>90</w:t>
            </w:r>
            <w:r>
              <w:rPr>
                <w:rStyle w:val="58"/>
                <w:rFonts w:ascii="宋体" w:hAnsi="宋体"/>
                <w:szCs w:val="21"/>
              </w:rPr>
              <w:t>天</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rPr>
                <w:rStyle w:val="58"/>
                <w:rFonts w:ascii="宋体" w:hAnsi="宋体"/>
                <w:szCs w:val="21"/>
              </w:rPr>
            </w:pPr>
            <w:r>
              <w:rPr>
                <w:rStyle w:val="58"/>
                <w:rFonts w:ascii="宋体" w:hAnsi="宋体"/>
                <w:szCs w:val="21"/>
              </w:rPr>
              <w:t>3.4.1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投标保证金的递交及相关费用的收取</w:t>
            </w:r>
          </w:p>
        </w:tc>
        <w:tc>
          <w:tcPr>
            <w:tcW w:w="3405" w:type="pct"/>
            <w:tcBorders>
              <w:top w:val="single" w:color="000000" w:sz="6" w:space="0"/>
              <w:left w:val="single" w:color="000000" w:sz="6" w:space="0"/>
              <w:bottom w:val="single" w:color="000000" w:sz="6" w:space="0"/>
              <w:right w:val="single" w:color="000000" w:sz="12" w:space="0"/>
            </w:tcBorders>
          </w:tcPr>
          <w:p>
            <w:r>
              <w:t>投标保证金的形式：</w:t>
            </w:r>
          </w:p>
          <w:p>
            <w:r>
              <w:rPr/>
              <w:sym w:font="Wingdings 2" w:char="0052"/>
            </w:r>
            <w:r>
              <w:rPr>
                <w:lang w:val="en-US" w:eastAsia="zh-CN"/>
              </w:rPr>
              <w:t xml:space="preserve">银行投标保函或从银行基本账 </w:t>
            </w:r>
          </w:p>
          <w:p>
            <w:r>
              <w:rPr>
                <w:lang w:val="en-US" w:eastAsia="zh-CN"/>
              </w:rPr>
              <w:t>户转账的方式缴纳投标保证金</w:t>
            </w:r>
            <w:r>
              <w:rPr>
                <w:rFonts w:hint="eastAsia"/>
              </w:rPr>
              <w:t>；</w:t>
            </w:r>
          </w:p>
          <w:p>
            <w:r>
              <w:rPr>
                <w:rFonts w:hint="eastAsia"/>
              </w:rPr>
              <w:t>投标保证金需从银行基本账户转出</w:t>
            </w:r>
            <w:r>
              <w:rPr>
                <w:rFonts w:hint="eastAsia"/>
                <w:lang w:val="en-US" w:eastAsia="zh-CN"/>
              </w:rPr>
              <w:t>并到账</w:t>
            </w:r>
            <w:r>
              <w:rPr>
                <w:rFonts w:hint="eastAsia"/>
              </w:rPr>
              <w:t>。</w:t>
            </w:r>
          </w:p>
          <w:p>
            <w:r>
              <w:t>投标保证金的金额：</w:t>
            </w:r>
            <w:r>
              <w:rPr>
                <w:rFonts w:hint="eastAsia"/>
              </w:rPr>
              <w:t>人民币贰万元整（¥</w:t>
            </w:r>
            <w:r>
              <w:t>20000</w:t>
            </w:r>
            <w:r>
              <w:rPr>
                <w:rFonts w:hint="eastAsia"/>
              </w:rPr>
              <w:t>元）</w:t>
            </w:r>
          </w:p>
          <w:p>
            <w:r>
              <w:t>投标保证金提交截止期限：</w:t>
            </w:r>
            <w:r>
              <w:rPr>
                <w:rFonts w:hint="eastAsia"/>
                <w:highlight w:val="yellow"/>
              </w:rPr>
              <w:t>202</w:t>
            </w:r>
            <w:r>
              <w:rPr>
                <w:highlight w:val="yellow"/>
              </w:rPr>
              <w:t>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13</w:t>
            </w:r>
            <w:r>
              <w:rPr>
                <w:rFonts w:hint="eastAsia"/>
                <w:highlight w:val="yellow"/>
              </w:rPr>
              <w:t>日</w:t>
            </w:r>
            <w:r>
              <w:rPr>
                <w:highlight w:val="yellow"/>
              </w:rPr>
              <w:t>1</w:t>
            </w:r>
            <w:r>
              <w:rPr>
                <w:rFonts w:hint="eastAsia"/>
                <w:highlight w:val="yellow"/>
              </w:rPr>
              <w:t>7</w:t>
            </w:r>
            <w:r>
              <w:rPr>
                <w:highlight w:val="yellow"/>
              </w:rPr>
              <w:t>:00时前</w:t>
            </w:r>
            <w:r>
              <w:rPr>
                <w:rFonts w:hint="eastAsia"/>
              </w:rPr>
              <w:t>。</w:t>
            </w:r>
          </w:p>
          <w:p>
            <w:r>
              <w:rPr>
                <w:rFonts w:hint="eastAsia"/>
              </w:rPr>
              <w:t>投标保证金提交到：</w:t>
            </w:r>
          </w:p>
          <w:p>
            <w:pPr>
              <w:tabs>
                <w:tab w:val="left" w:pos="932"/>
              </w:tabs>
              <w:ind w:firstLine="482" w:firstLineChars="200"/>
              <w:rPr>
                <w:rFonts w:hint="eastAsia" w:ascii="仿宋_GB2312" w:hAnsi="仿宋_GB2312" w:eastAsia="仿宋_GB2312" w:cs="仿宋_GB2312"/>
                <w:color w:val="000000"/>
                <w:kern w:val="0"/>
                <w:sz w:val="24"/>
                <w:szCs w:val="24"/>
              </w:rPr>
            </w:pPr>
            <w:r>
              <w:rPr>
                <w:rFonts w:hint="eastAsia" w:ascii="仿宋_GB2312" w:hAnsi="仿宋_GB2312" w:eastAsia="仿宋_GB2312" w:cs="仿宋_GB2312"/>
                <w:b/>
                <w:bCs/>
                <w:color w:val="000000"/>
                <w:kern w:val="0"/>
                <w:sz w:val="24"/>
                <w:szCs w:val="24"/>
              </w:rPr>
              <w:t>开户名称：</w:t>
            </w:r>
            <w:r>
              <w:rPr>
                <w:rFonts w:hint="eastAsia" w:ascii="仿宋_GB2312" w:hAnsi="仿宋_GB2312" w:eastAsia="仿宋_GB2312" w:cs="仿宋_GB2312"/>
                <w:color w:val="000000"/>
                <w:kern w:val="0"/>
                <w:sz w:val="24"/>
                <w:szCs w:val="24"/>
              </w:rPr>
              <w:t>中国重汽集团济南动力有限公司</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rPr>
              <w:t>开户银行：</w:t>
            </w:r>
            <w:r>
              <w:rPr>
                <w:rFonts w:hint="eastAsia" w:ascii="宋体" w:hAnsi="宋体" w:eastAsia="宋体" w:cs="宋体"/>
                <w:color w:val="000000"/>
                <w:kern w:val="0"/>
                <w:sz w:val="24"/>
                <w:szCs w:val="24"/>
                <w:highlight w:val="none"/>
              </w:rPr>
              <w:t>中国建设银行股份有限公司济南天桥支行</w:t>
            </w:r>
          </w:p>
          <w:p>
            <w:pPr>
              <w:tabs>
                <w:tab w:val="left" w:pos="932"/>
              </w:tabs>
              <w:ind w:firstLine="482" w:firstLineChars="200"/>
              <w:rPr>
                <w:rFonts w:hint="eastAsia" w:ascii="仿宋_GB2312" w:hAnsi="仿宋_GB2312" w:eastAsia="仿宋_GB2312" w:cs="仿宋_GB2312"/>
                <w:color w:val="000000"/>
                <w:kern w:val="0"/>
                <w:sz w:val="24"/>
                <w:szCs w:val="24"/>
                <w:highlight w:val="none"/>
              </w:rPr>
            </w:pPr>
            <w:r>
              <w:rPr>
                <w:rFonts w:hint="eastAsia" w:ascii="仿宋_GB2312" w:hAnsi="仿宋_GB2312" w:eastAsia="仿宋_GB2312" w:cs="仿宋_GB2312"/>
                <w:b/>
                <w:bCs/>
                <w:color w:val="000000"/>
                <w:kern w:val="0"/>
                <w:sz w:val="24"/>
                <w:szCs w:val="24"/>
                <w:highlight w:val="none"/>
              </w:rPr>
              <w:t>银行</w:t>
            </w:r>
            <w:r>
              <w:rPr>
                <w:rFonts w:hint="eastAsia" w:ascii="仿宋_GB2312" w:hAnsi="仿宋_GB2312" w:eastAsia="仿宋_GB2312" w:cs="仿宋_GB2312"/>
                <w:b/>
                <w:bCs/>
                <w:color w:val="000000"/>
                <w:kern w:val="0"/>
                <w:sz w:val="24"/>
                <w:szCs w:val="24"/>
                <w:highlight w:val="none"/>
                <w:lang w:val="en-US" w:eastAsia="zh-CN"/>
              </w:rPr>
              <w:t>账</w:t>
            </w:r>
            <w:r>
              <w:rPr>
                <w:rFonts w:hint="eastAsia" w:ascii="仿宋_GB2312" w:hAnsi="仿宋_GB2312" w:eastAsia="仿宋_GB2312" w:cs="仿宋_GB2312"/>
                <w:b/>
                <w:bCs/>
                <w:color w:val="000000"/>
                <w:kern w:val="0"/>
                <w:sz w:val="24"/>
                <w:szCs w:val="24"/>
                <w:highlight w:val="none"/>
              </w:rPr>
              <w:t>号：</w:t>
            </w:r>
            <w:r>
              <w:rPr>
                <w:rFonts w:hint="eastAsia" w:ascii="仿宋_GB2312" w:hAnsi="仿宋_GB2312" w:eastAsia="仿宋_GB2312" w:cs="仿宋_GB2312"/>
                <w:color w:val="000000"/>
                <w:kern w:val="0"/>
                <w:sz w:val="24"/>
                <w:szCs w:val="24"/>
                <w:highlight w:val="none"/>
              </w:rPr>
              <w:t>37001616508050150300</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kern w:val="0"/>
                <w:sz w:val="24"/>
                <w:szCs w:val="24"/>
              </w:rPr>
              <w:t>联行号：</w:t>
            </w:r>
            <w:r>
              <w:rPr>
                <w:rFonts w:hint="eastAsia" w:ascii="仿宋_GB2312" w:hAnsi="仿宋_GB2312" w:eastAsia="仿宋_GB2312" w:cs="仿宋_GB2312"/>
                <w:color w:val="000000"/>
                <w:kern w:val="0"/>
                <w:sz w:val="24"/>
                <w:szCs w:val="24"/>
              </w:rPr>
              <w:t>105451000362</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r>
              <w:rPr>
                <w:rFonts w:hint="eastAsia" w:ascii="仿宋_GB2312" w:hAnsi="仿宋_GB2312" w:eastAsia="仿宋_GB2312" w:cs="仿宋_GB2312"/>
                <w:sz w:val="24"/>
                <w:szCs w:val="24"/>
              </w:rPr>
              <w:t>转账附言：公司名称+项目名称+投标保证金。</w:t>
            </w:r>
          </w:p>
          <w:p>
            <w:r>
              <w:rPr/>
              <w:sym w:font="Wingdings 2" w:char="0052"/>
            </w:r>
            <w:r>
              <w:t>中标人的投标保证金自动转为履约保证金，待竣工验收后根据履约情况予以退还。</w:t>
            </w:r>
          </w:p>
          <w:p>
            <w:pPr>
              <w:pStyle w:val="2"/>
              <w:ind w:left="420" w:firstLine="420"/>
            </w:pPr>
          </w:p>
          <w:p>
            <w:pPr>
              <w:pStyle w:val="2"/>
              <w:ind w:left="0" w:leftChars="0" w:firstLine="0" w:firstLineChars="0"/>
              <w:rPr>
                <w:b/>
                <w:bCs/>
              </w:rPr>
            </w:pPr>
            <w:r>
              <w:rPr>
                <w:rFonts w:hint="eastAsia"/>
                <w:b/>
                <w:bCs/>
                <w:highlight w:val="yellow"/>
              </w:rPr>
              <w:t>特别提醒：</w:t>
            </w:r>
          </w:p>
          <w:p>
            <w:pPr>
              <w:rPr>
                <w:b/>
                <w:bCs/>
              </w:rPr>
            </w:pPr>
            <w:r>
              <w:rPr>
                <w:rFonts w:hint="eastAsia"/>
              </w:rPr>
              <w:t>1、</w:t>
            </w:r>
            <w:r>
              <w:rPr>
                <w:rFonts w:hint="eastAsia"/>
                <w:b/>
                <w:bCs/>
              </w:rPr>
              <w:t>投标人原则上应以提交银行投标保函或从银行基本账户转账的方式缴纳投标保证金。</w:t>
            </w:r>
          </w:p>
          <w:p>
            <w:r>
              <w:rPr>
                <w:rFonts w:hint="eastAsia"/>
              </w:rPr>
              <w:t>投标人提交银行投标保函的，应在开标时提交投标保函正本</w:t>
            </w:r>
            <w:r>
              <w:rPr>
                <w:rFonts w:hint="eastAsia"/>
                <w:b/>
                <w:bCs/>
              </w:rPr>
              <w:t>（若有，需单独密封）</w:t>
            </w:r>
            <w:r>
              <w:rPr>
                <w:rFonts w:hint="eastAsia"/>
              </w:rPr>
              <w:t>，该投标保函应是不可撤销的“见索即付”保函，保函有效期应满足投标有效期要求；</w:t>
            </w:r>
          </w:p>
          <w:p>
            <w:r>
              <w:rPr>
                <w:rFonts w:hint="eastAsia"/>
              </w:rPr>
              <w:t>投标人从银行基本账户转账的，</w:t>
            </w:r>
            <w:r>
              <w:rPr>
                <w:rFonts w:hint="eastAsia"/>
                <w:b/>
                <w:bCs/>
              </w:rPr>
              <w:t>银行摘要信息中要求有“保证金”字样。</w:t>
            </w:r>
          </w:p>
          <w:p>
            <w:r>
              <w:rPr>
                <w:rFonts w:hint="eastAsia"/>
              </w:rPr>
              <w:t>2、</w:t>
            </w:r>
            <w:r>
              <w:t>投标保证金的退还</w:t>
            </w:r>
          </w:p>
          <w:p>
            <w:pPr>
              <w:ind w:firstLine="420" w:firstLineChars="200"/>
            </w:pPr>
            <w:r>
              <w:t>按照招投标法保证金返还相关条款约定，结合我公司财务管理流程等综合因素，保证金退款流程申请成功退款到账时间为：</w:t>
            </w:r>
            <w:r>
              <w:rPr>
                <w:rFonts w:hint="eastAsia"/>
              </w:rPr>
              <w:t>未中标的投标人投标保证金将在中标通知书发出后60日内予以无息退还；中标人的投标保证金将转为履约保证金的，待具备退还条件后予以无息退还</w:t>
            </w:r>
            <w:r>
              <w:t>。</w:t>
            </w:r>
          </w:p>
          <w:p>
            <w:pPr>
              <w:ind w:firstLine="420" w:firstLineChars="200"/>
            </w:pPr>
            <w:r>
              <w:t>请各投标单位知悉且视为认同此条款。</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3.6.3</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签字和（或）盖章要求</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投标文件封面处及投标函均应加盖投标人印章并经法定代表人或其委托代理人签字或盖章。</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547" w:hRule="atLeas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3.6.4</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投标文件份数</w:t>
            </w:r>
          </w:p>
        </w:tc>
        <w:tc>
          <w:tcPr>
            <w:tcW w:w="3405" w:type="pct"/>
            <w:tcBorders>
              <w:top w:val="single" w:color="000000" w:sz="6" w:space="0"/>
              <w:left w:val="single" w:color="000000" w:sz="6" w:space="0"/>
              <w:bottom w:val="single" w:color="000000" w:sz="6" w:space="0"/>
              <w:right w:val="single" w:color="000000" w:sz="12" w:space="0"/>
            </w:tcBorders>
            <w:vAlign w:val="center"/>
          </w:tcPr>
          <w:p>
            <w:pPr>
              <w:rPr>
                <w:rStyle w:val="58"/>
                <w:rFonts w:ascii="宋体" w:hAnsi="宋体"/>
                <w:szCs w:val="21"/>
              </w:rPr>
            </w:pPr>
            <w:r>
              <w:rPr>
                <w:rStyle w:val="58"/>
                <w:rFonts w:hint="eastAsia" w:ascii="宋体" w:hAnsi="宋体"/>
                <w:szCs w:val="21"/>
              </w:rPr>
              <w:t>一</w:t>
            </w:r>
            <w:r>
              <w:rPr>
                <w:rStyle w:val="58"/>
                <w:rFonts w:ascii="宋体" w:hAnsi="宋体"/>
                <w:szCs w:val="21"/>
              </w:rPr>
              <w:t>份</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3.6.5</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pPr>
            <w:r>
              <w:t>装订要求</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pPr>
            <w:r>
              <w:t>按照</w:t>
            </w:r>
            <w:r>
              <w:rPr>
                <w:rFonts w:hint="eastAsia"/>
              </w:rPr>
              <w:t>总则、</w:t>
            </w:r>
            <w:r>
              <w:rPr>
                <w:b/>
                <w:bCs/>
              </w:rPr>
              <w:t>投标人须知第3.1.1项</w:t>
            </w:r>
            <w:r>
              <w:t>规定的投标文件组成内容，投标文件应按以下要求装订；</w:t>
            </w:r>
          </w:p>
          <w:p>
            <w:pPr>
              <w:spacing w:line="276" w:lineRule="auto"/>
            </w:pPr>
            <w:r>
              <w:rPr>
                <w:rFonts w:hint="eastAsia"/>
              </w:rPr>
              <w:t>（1）</w:t>
            </w:r>
            <w:r>
              <w:rPr>
                <w:rFonts w:hint="eastAsia"/>
                <w:b/>
                <w:bCs/>
              </w:rPr>
              <w:t>工程唱标单</w:t>
            </w:r>
            <w:r>
              <w:rPr>
                <w:rFonts w:hint="eastAsia"/>
              </w:rPr>
              <w:t>：一式二份，单独密封。</w:t>
            </w:r>
          </w:p>
          <w:p>
            <w:pPr>
              <w:spacing w:line="276" w:lineRule="auto"/>
            </w:pPr>
            <w:r>
              <w:rPr>
                <w:rFonts w:hint="eastAsia"/>
              </w:rPr>
              <w:t>（2）</w:t>
            </w:r>
            <w:r>
              <w:rPr>
                <w:rFonts w:hint="eastAsia"/>
                <w:b/>
                <w:bCs/>
              </w:rPr>
              <w:t>投标文件电子版</w:t>
            </w:r>
            <w:r>
              <w:rPr>
                <w:rFonts w:hint="eastAsia"/>
              </w:rPr>
              <w:t>：</w:t>
            </w:r>
            <w:r>
              <w:rPr>
                <w:rStyle w:val="58"/>
                <w:rFonts w:ascii="宋体" w:hAnsi="宋体"/>
                <w:szCs w:val="21"/>
              </w:rPr>
              <w:t>U盘</w:t>
            </w:r>
            <w:r>
              <w:rPr>
                <w:rStyle w:val="58"/>
                <w:rFonts w:hint="eastAsia" w:ascii="宋体" w:hAnsi="宋体"/>
                <w:szCs w:val="21"/>
              </w:rPr>
              <w:t>，一份，</w:t>
            </w:r>
            <w:r>
              <w:rPr>
                <w:rStyle w:val="58"/>
                <w:rFonts w:ascii="宋体" w:hAnsi="宋体"/>
                <w:szCs w:val="21"/>
              </w:rPr>
              <w:t>单独放入一个密封袋中</w:t>
            </w:r>
            <w:r>
              <w:rPr>
                <w:rStyle w:val="58"/>
                <w:rFonts w:hint="eastAsia" w:ascii="宋体" w:hAnsi="宋体"/>
                <w:szCs w:val="21"/>
              </w:rPr>
              <w:t>。投标文件电子版应包含</w:t>
            </w:r>
            <w:r>
              <w:rPr>
                <w:rStyle w:val="58"/>
                <w:rFonts w:ascii="宋体" w:hAnsi="宋体"/>
                <w:szCs w:val="21"/>
              </w:rPr>
              <w:t>PDF</w:t>
            </w:r>
            <w:r>
              <w:rPr>
                <w:rStyle w:val="58"/>
                <w:rFonts w:hint="eastAsia" w:ascii="宋体" w:hAnsi="宋体"/>
                <w:szCs w:val="21"/>
              </w:rPr>
              <w:t>、</w:t>
            </w:r>
            <w:r>
              <w:rPr>
                <w:rStyle w:val="58"/>
                <w:rFonts w:ascii="宋体" w:hAnsi="宋体"/>
                <w:szCs w:val="21"/>
              </w:rPr>
              <w:t>WORD</w:t>
            </w:r>
            <w:r>
              <w:rPr>
                <w:rStyle w:val="58"/>
                <w:rFonts w:hint="eastAsia" w:ascii="宋体" w:hAnsi="宋体"/>
                <w:szCs w:val="21"/>
              </w:rPr>
              <w:t>、</w:t>
            </w:r>
            <w:r>
              <w:rPr>
                <w:rStyle w:val="58"/>
                <w:rFonts w:ascii="宋体" w:hAnsi="宋体"/>
                <w:szCs w:val="21"/>
              </w:rPr>
              <w:t>EXCEL格式</w:t>
            </w:r>
            <w:r>
              <w:rPr>
                <w:rStyle w:val="58"/>
                <w:rFonts w:hint="eastAsia" w:ascii="宋体" w:hAnsi="宋体"/>
                <w:szCs w:val="21"/>
              </w:rPr>
              <w:t>（P</w:t>
            </w:r>
            <w:r>
              <w:rPr>
                <w:rStyle w:val="58"/>
                <w:rFonts w:ascii="宋体" w:hAnsi="宋体"/>
                <w:szCs w:val="21"/>
              </w:rPr>
              <w:t>DF</w:t>
            </w:r>
            <w:r>
              <w:rPr>
                <w:rStyle w:val="58"/>
                <w:rFonts w:hint="eastAsia" w:ascii="宋体" w:hAnsi="宋体"/>
                <w:szCs w:val="21"/>
              </w:rPr>
              <w:t>版需逐页加盖公章），确保与上传重汽e采通的投标文件电子版一致。其中，</w:t>
            </w:r>
            <w:r>
              <w:rPr>
                <w:rStyle w:val="58"/>
                <w:rFonts w:ascii="宋体" w:hAnsi="宋体"/>
                <w:b/>
                <w:bCs/>
                <w:szCs w:val="21"/>
              </w:rPr>
              <w:t>《分部分项工程量清单与计价表》应为EXCEL格式</w:t>
            </w:r>
            <w:r>
              <w:rPr>
                <w:rStyle w:val="58"/>
                <w:rFonts w:hint="eastAsia" w:ascii="宋体" w:hAnsi="宋体"/>
                <w:b/>
                <w:bCs/>
                <w:szCs w:val="21"/>
              </w:rPr>
              <w:t>，并应包含广联达软件版报价文件。</w:t>
            </w:r>
            <w:r>
              <w:rPr>
                <w:rStyle w:val="58"/>
                <w:rFonts w:hint="eastAsia" w:ascii="宋体" w:hAnsi="宋体" w:cs="宋体"/>
                <w:b/>
                <w:bCs/>
                <w:szCs w:val="21"/>
              </w:rPr>
              <w:t>电子版与上传到e采通的文件不一致的，以上传到e采通的为准。</w:t>
            </w:r>
          </w:p>
          <w:p>
            <w:pPr>
              <w:spacing w:line="276" w:lineRule="auto"/>
            </w:pPr>
            <w:r>
              <w:rPr>
                <w:rFonts w:hint="eastAsia"/>
              </w:rPr>
              <w:t>（3）</w:t>
            </w:r>
            <w:r>
              <w:rPr>
                <w:b/>
                <w:bCs/>
              </w:rPr>
              <w:t>资格审查文件</w:t>
            </w:r>
            <w:r>
              <w:t>：第九章内容（只需一份，单独装密封）</w:t>
            </w:r>
          </w:p>
          <w:p>
            <w:pPr>
              <w:spacing w:line="276" w:lineRule="auto"/>
            </w:pPr>
            <w:r>
              <w:t>（4）</w:t>
            </w:r>
            <w:r>
              <w:rPr>
                <w:b/>
                <w:bCs/>
              </w:rPr>
              <w:t>商务标及技术标文件</w:t>
            </w:r>
            <w:r>
              <w:t>，分两册装订，分别为：</w:t>
            </w:r>
          </w:p>
          <w:p>
            <w:pPr>
              <w:spacing w:line="276" w:lineRule="auto"/>
            </w:pPr>
            <w:r>
              <w:t>商务标册：包括（1）至（5）的内容（一正</w:t>
            </w:r>
            <w:r>
              <w:rPr>
                <w:rFonts w:hint="eastAsia"/>
              </w:rPr>
              <w:t>一</w:t>
            </w:r>
            <w:r>
              <w:t>副）</w:t>
            </w:r>
          </w:p>
          <w:p>
            <w:pPr>
              <w:spacing w:line="276" w:lineRule="auto"/>
            </w:pPr>
            <w:r>
              <w:t>技术标册：包括（6）至（8）的内容（一正</w:t>
            </w:r>
            <w:r>
              <w:rPr>
                <w:rFonts w:hint="eastAsia"/>
                <w:b/>
                <w:bCs/>
              </w:rPr>
              <w:t>一</w:t>
            </w:r>
            <w:r>
              <w:t>副）</w:t>
            </w:r>
          </w:p>
          <w:p>
            <w:pPr>
              <w:spacing w:line="276" w:lineRule="auto"/>
            </w:pPr>
            <w:r>
              <w:t>以上文件每册采用胶装方式装订，应牢固、不易拆散和换页，不得采用活页装订。</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Fonts w:ascii="宋体" w:hAnsi="宋体" w:eastAsia="宋体" w:cs="Times New Roman"/>
                <w:kern w:val="2"/>
                <w:sz w:val="21"/>
                <w:szCs w:val="21"/>
                <w:lang w:val="en-US" w:eastAsia="zh-CN" w:bidi="ar-SA"/>
              </w:rPr>
            </w:pPr>
            <w:r>
              <w:rPr>
                <w:rStyle w:val="58"/>
                <w:rFonts w:ascii="宋体" w:hAnsi="宋体"/>
                <w:szCs w:val="21"/>
              </w:rPr>
              <w:t>4.1.2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Fonts w:ascii="Times New Roman" w:hAnsi="Times New Roman" w:eastAsia="宋体" w:cs="Times New Roman"/>
                <w:kern w:val="2"/>
                <w:sz w:val="21"/>
                <w:szCs w:val="24"/>
                <w:lang w:val="en-US" w:eastAsia="zh-CN" w:bidi="ar-SA"/>
              </w:rPr>
            </w:pPr>
            <w:r>
              <w:t>封套上写明</w:t>
            </w:r>
          </w:p>
        </w:tc>
        <w:tc>
          <w:tcPr>
            <w:tcW w:w="3405" w:type="pct"/>
            <w:tcBorders>
              <w:top w:val="single" w:color="000000" w:sz="6" w:space="0"/>
              <w:left w:val="single" w:color="000000" w:sz="6" w:space="0"/>
              <w:bottom w:val="single" w:color="000000" w:sz="6" w:space="0"/>
              <w:right w:val="single" w:color="000000" w:sz="12" w:space="0"/>
            </w:tcBorders>
            <w:vAlign w:val="top"/>
          </w:tcPr>
          <w:p>
            <w:pPr>
              <w:spacing w:line="276" w:lineRule="auto"/>
            </w:pPr>
            <w:r>
              <w:rPr>
                <w:rFonts w:hint="eastAsia"/>
              </w:rPr>
              <w:t>1) 项目编号、项目名称；</w:t>
            </w:r>
          </w:p>
          <w:p>
            <w:pPr>
              <w:spacing w:line="276" w:lineRule="auto"/>
            </w:pPr>
            <w:r>
              <w:rPr>
                <w:rFonts w:hint="eastAsia"/>
              </w:rPr>
              <w:t>2) 技术标书、唱标单、投标文件电子版、商务标书、资格审查文件；</w:t>
            </w:r>
          </w:p>
          <w:p>
            <w:pPr>
              <w:spacing w:line="276" w:lineRule="auto"/>
            </w:pPr>
            <w:r>
              <w:rPr>
                <w:rFonts w:hint="eastAsia"/>
              </w:rPr>
              <w:t>3) 投标人名称（加盖公章）、地址、固定电话、授权人手机号；</w:t>
            </w:r>
          </w:p>
          <w:p>
            <w:pPr>
              <w:spacing w:line="276" w:lineRule="auto"/>
              <w:rPr>
                <w:rFonts w:hint="eastAsia" w:ascii="Times New Roman" w:hAnsi="Times New Roman" w:eastAsia="宋体" w:cs="Times New Roman"/>
                <w:kern w:val="2"/>
                <w:sz w:val="21"/>
                <w:szCs w:val="24"/>
                <w:lang w:val="en-US" w:eastAsia="zh-CN" w:bidi="ar-SA"/>
              </w:rPr>
            </w:pPr>
            <w:r>
              <w:rPr>
                <w:rFonts w:hint="eastAsia"/>
              </w:rPr>
              <w:t>4）每一密封件在封口处注明“于    年  月   日  时  分</w:t>
            </w:r>
            <w:r>
              <w:t>（按实际开标时间填写）</w:t>
            </w:r>
            <w:r>
              <w:rPr>
                <w:rFonts w:hint="eastAsia"/>
              </w:rPr>
              <w:t>之前不准启封”字样。</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4.2.2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jc w:val="center"/>
              <w:rPr>
                <w:rStyle w:val="58"/>
                <w:rFonts w:ascii="宋体" w:hAnsi="宋体"/>
                <w:szCs w:val="21"/>
              </w:rPr>
            </w:pPr>
            <w:r>
              <w:rPr>
                <w:rStyle w:val="58"/>
                <w:rFonts w:ascii="宋体" w:hAnsi="宋体"/>
                <w:szCs w:val="21"/>
              </w:rPr>
              <w:t>递交投标文件地点</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ind w:firstLine="420" w:firstLineChars="200"/>
              <w:rPr>
                <w:rFonts w:hint="eastAsia"/>
              </w:rPr>
            </w:pPr>
            <w:r>
              <w:rPr>
                <w:rFonts w:hint="eastAsia"/>
                <w:highlight w:val="yellow"/>
              </w:rPr>
              <w:t>纸质版投标文件递交地点：</w:t>
            </w:r>
            <w:r>
              <w:rPr>
                <w:rFonts w:hint="eastAsia"/>
                <w:color w:val="FF0000"/>
                <w:highlight w:val="yellow"/>
              </w:rPr>
              <w:t>济南市华奥路</w:t>
            </w:r>
            <w:r>
              <w:rPr>
                <w:color w:val="FF0000"/>
                <w:highlight w:val="yellow"/>
              </w:rPr>
              <w:t>777</w:t>
            </w:r>
            <w:r>
              <w:rPr>
                <w:rFonts w:hint="eastAsia"/>
                <w:color w:val="FF0000"/>
                <w:highlight w:val="yellow"/>
              </w:rPr>
              <w:t>号重汽科技大厦</w:t>
            </w:r>
            <w:r>
              <w:rPr>
                <w:color w:val="FF0000"/>
                <w:highlight w:val="yellow"/>
              </w:rPr>
              <w:t>****</w:t>
            </w:r>
            <w:r>
              <w:rPr>
                <w:rFonts w:hint="eastAsia"/>
                <w:color w:val="FF0000"/>
                <w:highlight w:val="yellow"/>
              </w:rPr>
              <w:t>室</w:t>
            </w:r>
            <w:r>
              <w:rPr>
                <w:rFonts w:hint="eastAsia"/>
                <w:highlight w:val="yellow"/>
              </w:rPr>
              <w:t>，</w:t>
            </w:r>
            <w:r>
              <w:rPr>
                <w:rFonts w:hint="eastAsia"/>
                <w:b/>
                <w:bCs/>
              </w:rPr>
              <w:t>线下</w:t>
            </w:r>
            <w:r>
              <w:rPr>
                <w:rFonts w:hint="eastAsia"/>
                <w:b/>
                <w:bCs/>
                <w:lang w:val="en-US" w:eastAsia="zh-CN"/>
              </w:rPr>
              <w:t>开标带至开标现场</w:t>
            </w:r>
            <w:r>
              <w:rPr>
                <w:rFonts w:hint="eastAsia"/>
              </w:rPr>
              <w:t>。</w:t>
            </w:r>
          </w:p>
          <w:p>
            <w:pPr>
              <w:spacing w:line="276" w:lineRule="auto"/>
              <w:ind w:firstLine="420" w:firstLineChars="200"/>
            </w:pPr>
            <w:r>
              <w:rPr>
                <w:rFonts w:hint="eastAsia"/>
              </w:rPr>
              <w:t>同时，投标人须在投标截止时间前</w:t>
            </w:r>
            <w:r>
              <w:rPr>
                <w:rFonts w:hint="eastAsia" w:ascii="宋体" w:hAnsi="宋体" w:cs="宋体"/>
                <w:szCs w:val="21"/>
              </w:rPr>
              <w:t>（</w:t>
            </w:r>
            <w:r>
              <w:rPr>
                <w:rFonts w:hint="eastAsia" w:ascii="宋体" w:hAnsi="宋体" w:cs="宋体"/>
                <w:b/>
                <w:bCs/>
                <w:szCs w:val="21"/>
                <w:em w:val="dot"/>
              </w:rPr>
              <w:t>为避免网络或电脑设备等临时出现问题，建议在投标截止日期前至少一天</w:t>
            </w:r>
            <w:r>
              <w:rPr>
                <w:rFonts w:hint="eastAsia" w:ascii="宋体" w:hAnsi="宋体" w:cs="宋体"/>
                <w:szCs w:val="21"/>
              </w:rPr>
              <w:t>）</w:t>
            </w:r>
            <w:r>
              <w:rPr>
                <w:rFonts w:hint="eastAsia"/>
              </w:rPr>
              <w:t>将电子版投标文件上传到重汽e采通平台</w:t>
            </w:r>
            <w:r>
              <w:fldChar w:fldCharType="begin"/>
            </w:r>
            <w:r>
              <w:instrText xml:space="preserve"> HYPERLINK "https://ecaitong.sinotruk.com:8012/" </w:instrText>
            </w:r>
            <w:r>
              <w:fldChar w:fldCharType="separate"/>
            </w:r>
            <w:r>
              <w:rPr>
                <w:rStyle w:val="45"/>
                <w:rFonts w:hint="eastAsia"/>
                <w:color w:val="auto"/>
                <w:sz w:val="21"/>
              </w:rPr>
              <w:t>http</w:t>
            </w:r>
            <w:r>
              <w:rPr>
                <w:rStyle w:val="45"/>
                <w:color w:val="auto"/>
                <w:sz w:val="21"/>
              </w:rPr>
              <w:t>s</w:t>
            </w:r>
            <w:r>
              <w:rPr>
                <w:rStyle w:val="45"/>
                <w:rFonts w:hint="eastAsia"/>
                <w:color w:val="auto"/>
                <w:sz w:val="21"/>
              </w:rPr>
              <w:t>://ecaitong.sinotruk.com:8012/</w:t>
            </w:r>
            <w:r>
              <w:rPr>
                <w:rStyle w:val="45"/>
                <w:color w:val="auto"/>
                <w:sz w:val="21"/>
              </w:rPr>
              <w:fldChar w:fldCharType="end"/>
            </w:r>
            <w:r>
              <w:rPr>
                <w:rFonts w:hint="eastAsia"/>
              </w:rPr>
              <w:t>，操作方式详见最新版《SRM-系统用户手册-非生产招投标（供应商使用）》。</w:t>
            </w:r>
            <w:r>
              <w:rPr>
                <w:rFonts w:hint="eastAsia" w:ascii="宋体" w:hAnsi="宋体" w:cs="宋体"/>
                <w:b/>
                <w:bCs/>
                <w:szCs w:val="21"/>
                <w:em w:val="dot"/>
              </w:rPr>
              <w:t>若逾期未完成重汽e采通上传标书，即便递交了纸质版投标文件，一律视为自动放弃本次投标。</w:t>
            </w:r>
          </w:p>
          <w:p>
            <w:pPr>
              <w:spacing w:line="276" w:lineRule="auto"/>
              <w:ind w:firstLine="420" w:firstLineChars="200"/>
            </w:pPr>
            <w:r>
              <w:rPr>
                <w:rFonts w:hint="eastAsia"/>
              </w:rPr>
              <w:t>注意：投标人必须在报名时根据《非生产供应商注册操作手册》完成账号注册</w:t>
            </w:r>
            <w:r>
              <w:t>，</w:t>
            </w:r>
            <w:r>
              <w:rPr>
                <w:rFonts w:hint="eastAsia"/>
              </w:rPr>
              <w:t>注册审核需2-4日，审核通过后，</w:t>
            </w:r>
            <w:r>
              <w:rPr>
                <w:rFonts w:hint="eastAsia" w:ascii="宋体" w:hAnsi="宋体" w:cs="宋体"/>
                <w:szCs w:val="21"/>
              </w:rPr>
              <w:t>使用企业账号gsy+供应商编码，初始密码为scm@2022（或@2023，以注册成功收到的短信通知为准）登录。报名成功后</w:t>
            </w:r>
            <w:r>
              <w:t>进入“</w:t>
            </w:r>
            <w:r>
              <w:rPr>
                <w:b/>
                <w:bCs/>
              </w:rPr>
              <w:t>招投标中心-非生产类招投标-供应商应标</w:t>
            </w:r>
            <w:r>
              <w:t>”</w:t>
            </w:r>
            <w:r>
              <w:rPr>
                <w:rFonts w:hint="eastAsia"/>
              </w:rPr>
              <w:t>，上传资格审查资料后通知招标联系人。</w:t>
            </w:r>
          </w:p>
          <w:p>
            <w:pPr>
              <w:pStyle w:val="2"/>
              <w:spacing w:after="0"/>
              <w:ind w:left="0" w:leftChars="0" w:firstLine="422"/>
              <w:rPr>
                <w:b/>
                <w:bCs/>
              </w:rPr>
            </w:pPr>
            <w:r>
              <w:rPr>
                <w:rFonts w:hint="eastAsia"/>
                <w:b/>
                <w:bCs/>
              </w:rPr>
              <w:t>各投标单位的重汽e采通账户注册成功后，务必自行修改默认密码并妥善管理，本单位账户不得转给其他非本单位人员操作，投标单位需对通过重汽e采通进行的一切操作（包括但不限于递交资料、投标报价等）负责，所有操作均视为有效，产生的一切结果均由各投标单位自行承担。</w:t>
            </w:r>
          </w:p>
          <w:p>
            <w:pPr>
              <w:pStyle w:val="2"/>
              <w:spacing w:after="0"/>
              <w:ind w:left="0" w:leftChars="0" w:firstLine="420"/>
            </w:pPr>
            <w:r>
              <w:rPr>
                <w:rFonts w:hint="eastAsia"/>
                <w:lang w:val="en-US" w:eastAsia="zh-CN"/>
              </w:rPr>
              <w:t>投标</w:t>
            </w:r>
            <w:r>
              <w:rPr>
                <w:rFonts w:hint="eastAsia"/>
              </w:rPr>
              <w:t>截止时间为</w:t>
            </w:r>
            <w:r>
              <w:rPr>
                <w:rFonts w:hint="eastAsia"/>
                <w:highlight w:val="yellow"/>
              </w:rPr>
              <w:t>2</w:t>
            </w:r>
            <w:r>
              <w:rPr>
                <w:highlight w:val="yellow"/>
              </w:rPr>
              <w:t>025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13</w:t>
            </w:r>
            <w:r>
              <w:rPr>
                <w:rFonts w:hint="eastAsia"/>
                <w:highlight w:val="yellow"/>
              </w:rPr>
              <w:t>日1</w:t>
            </w:r>
            <w:r>
              <w:rPr>
                <w:rFonts w:hint="eastAsia"/>
                <w:highlight w:val="yellow"/>
                <w:lang w:val="en-US" w:eastAsia="zh-CN"/>
              </w:rPr>
              <w:t>7</w:t>
            </w:r>
            <w:r>
              <w:rPr>
                <w:rFonts w:hint="eastAsia"/>
                <w:highlight w:val="yellow"/>
              </w:rPr>
              <w:t>:</w:t>
            </w:r>
            <w:r>
              <w:rPr>
                <w:highlight w:val="yellow"/>
              </w:rPr>
              <w:t>00:00</w:t>
            </w:r>
            <w:r>
              <w:rPr>
                <w:rFonts w:hint="eastAsia"/>
              </w:rPr>
              <w:t>，精确到秒，逾期将无法应标，视为报名不成功，无法参与投标。请自行掌握时间安排，避免无法应标。</w:t>
            </w:r>
          </w:p>
          <w:p>
            <w:pPr>
              <w:spacing w:line="276" w:lineRule="auto"/>
              <w:ind w:firstLine="420" w:firstLineChars="200"/>
            </w:pPr>
            <w:r>
              <w:rPr>
                <w:rFonts w:hint="eastAsia"/>
              </w:rPr>
              <w:t>注：资格审查未通过，不允许进入技术和商务开标、评审。</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4.2.3</w:t>
            </w:r>
          </w:p>
        </w:tc>
        <w:tc>
          <w:tcPr>
            <w:tcW w:w="1125" w:type="pct"/>
            <w:tcBorders>
              <w:top w:val="single" w:color="000000" w:sz="6" w:space="0"/>
              <w:left w:val="single" w:color="000000" w:sz="6" w:space="0"/>
              <w:bottom w:val="single" w:color="000000" w:sz="6" w:space="0"/>
              <w:right w:val="single" w:color="000000" w:sz="6" w:space="0"/>
            </w:tcBorders>
          </w:tcPr>
          <w:p>
            <w:pPr>
              <w:spacing w:line="276" w:lineRule="auto"/>
              <w:rPr>
                <w:rStyle w:val="58"/>
                <w:rFonts w:ascii="宋体" w:hAnsi="宋体"/>
                <w:szCs w:val="21"/>
              </w:rPr>
            </w:pPr>
            <w:r>
              <w:rPr>
                <w:rStyle w:val="58"/>
                <w:rFonts w:ascii="宋体" w:hAnsi="宋体"/>
                <w:szCs w:val="21"/>
              </w:rPr>
              <w:t>是否退还投标文件</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否</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5.1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开标时间和地点</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hint="eastAsia" w:ascii="宋体" w:hAnsi="宋体" w:eastAsia="宋体"/>
                <w:szCs w:val="21"/>
                <w:lang w:eastAsia="zh-CN"/>
              </w:rPr>
            </w:pPr>
            <w:r>
              <w:rPr>
                <w:rStyle w:val="58"/>
                <w:rFonts w:ascii="宋体" w:hAnsi="宋体"/>
                <w:szCs w:val="21"/>
              </w:rPr>
              <w:t>开标时间：</w:t>
            </w:r>
            <w:r>
              <w:rPr>
                <w:rFonts w:hint="eastAsia"/>
                <w:highlight w:val="yellow"/>
              </w:rPr>
              <w:t>2</w:t>
            </w:r>
            <w:r>
              <w:rPr>
                <w:highlight w:val="yellow"/>
              </w:rPr>
              <w:t>025</w:t>
            </w:r>
            <w:r>
              <w:rPr>
                <w:rFonts w:hint="eastAsia"/>
                <w:highlight w:val="yellow"/>
              </w:rPr>
              <w:t>年</w:t>
            </w:r>
            <w:r>
              <w:rPr>
                <w:rFonts w:hint="eastAsia"/>
                <w:highlight w:val="yellow"/>
                <w:lang w:val="en-US" w:eastAsia="zh-CN"/>
              </w:rPr>
              <w:t>11</w:t>
            </w:r>
            <w:r>
              <w:rPr>
                <w:rFonts w:hint="eastAsia"/>
                <w:highlight w:val="yellow"/>
              </w:rPr>
              <w:t>月</w:t>
            </w:r>
            <w:r>
              <w:rPr>
                <w:rFonts w:hint="eastAsia"/>
                <w:highlight w:val="yellow"/>
                <w:lang w:val="en-US" w:eastAsia="zh-CN"/>
              </w:rPr>
              <w:t>14</w:t>
            </w:r>
            <w:r>
              <w:rPr>
                <w:rFonts w:hint="eastAsia"/>
                <w:highlight w:val="yellow"/>
              </w:rPr>
              <w:t>日</w:t>
            </w:r>
            <w:r>
              <w:rPr>
                <w:rFonts w:hint="eastAsia"/>
                <w:highlight w:val="yellow"/>
                <w:lang w:val="en-US" w:eastAsia="zh-CN"/>
              </w:rPr>
              <w:t>9</w:t>
            </w:r>
            <w:r>
              <w:rPr>
                <w:rFonts w:hint="eastAsia"/>
                <w:highlight w:val="yellow"/>
              </w:rPr>
              <w:t>:</w:t>
            </w:r>
            <w:r>
              <w:rPr>
                <w:highlight w:val="yellow"/>
              </w:rPr>
              <w:t>00</w:t>
            </w:r>
            <w:r>
              <w:rPr>
                <w:rFonts w:hint="eastAsia"/>
                <w:highlight w:val="yellow"/>
                <w:lang w:eastAsia="zh-CN"/>
              </w:rPr>
              <w:t>（</w:t>
            </w:r>
            <w:r>
              <w:rPr>
                <w:rFonts w:hint="eastAsia"/>
                <w:highlight w:val="yellow"/>
                <w:lang w:val="en-US" w:eastAsia="zh-CN"/>
              </w:rPr>
              <w:t>暂定，若有改动以实际通知为准</w:t>
            </w:r>
            <w:r>
              <w:rPr>
                <w:rFonts w:hint="eastAsia"/>
                <w:highlight w:val="yellow"/>
                <w:lang w:eastAsia="zh-CN"/>
              </w:rPr>
              <w:t>）</w:t>
            </w:r>
          </w:p>
          <w:p>
            <w:pPr>
              <w:spacing w:line="276" w:lineRule="auto"/>
              <w:rPr>
                <w:rStyle w:val="58"/>
                <w:rFonts w:ascii="宋体" w:hAnsi="宋体"/>
                <w:szCs w:val="21"/>
              </w:rPr>
            </w:pPr>
            <w:r>
              <w:rPr>
                <w:rStyle w:val="58"/>
                <w:rFonts w:ascii="宋体" w:hAnsi="宋体"/>
                <w:szCs w:val="21"/>
                <w:highlight w:val="yellow"/>
              </w:rPr>
              <w:t>开标地点：</w:t>
            </w:r>
            <w:r>
              <w:rPr>
                <w:rStyle w:val="58"/>
                <w:rFonts w:hint="eastAsia" w:ascii="宋体" w:hAnsi="宋体"/>
                <w:i/>
                <w:iCs/>
                <w:color w:val="FF0000"/>
                <w:szCs w:val="21"/>
                <w:highlight w:val="yellow"/>
                <w:u w:val="single"/>
              </w:rPr>
              <w:t>济南市华奥路777号重汽科技大厦</w:t>
            </w:r>
            <w:r>
              <w:rPr>
                <w:rStyle w:val="58"/>
                <w:rFonts w:hint="eastAsia" w:ascii="宋体" w:hAnsi="宋体"/>
                <w:i/>
                <w:iCs/>
                <w:color w:val="FF0000"/>
                <w:szCs w:val="21"/>
                <w:highlight w:val="yellow"/>
                <w:u w:val="single"/>
                <w:lang w:val="en-US" w:eastAsia="zh-CN"/>
              </w:rPr>
              <w:t>三楼会议</w:t>
            </w:r>
            <w:r>
              <w:rPr>
                <w:rStyle w:val="58"/>
                <w:rFonts w:hint="eastAsia" w:ascii="宋体" w:hAnsi="宋体"/>
                <w:i/>
                <w:iCs/>
                <w:color w:val="FF0000"/>
                <w:szCs w:val="21"/>
                <w:highlight w:val="yellow"/>
                <w:u w:val="single"/>
              </w:rPr>
              <w:t>室</w:t>
            </w:r>
            <w:r>
              <w:rPr>
                <w:rFonts w:hint="eastAsia"/>
                <w:highlight w:val="yellow"/>
                <w:lang w:eastAsia="zh-CN"/>
              </w:rPr>
              <w:t>（</w:t>
            </w:r>
            <w:r>
              <w:rPr>
                <w:rFonts w:hint="eastAsia"/>
                <w:highlight w:val="yellow"/>
                <w:lang w:val="en-US" w:eastAsia="zh-CN"/>
              </w:rPr>
              <w:t>暂定，若有改动以实际通知为准</w:t>
            </w:r>
            <w:r>
              <w:rPr>
                <w:rFonts w:hint="eastAsia"/>
                <w:highlight w:val="yellow"/>
                <w:lang w:eastAsia="zh-CN"/>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5.2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开标程序</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详见投标人须知</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6.1.1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评标委员会的组建</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评标委员会构成：</w:t>
            </w:r>
            <w:r>
              <w:rPr>
                <w:rStyle w:val="58"/>
                <w:rFonts w:hint="eastAsia" w:ascii="宋体" w:hAnsi="宋体"/>
                <w:szCs w:val="21"/>
              </w:rPr>
              <w:t>技术标/商务标专家组均为</w:t>
            </w:r>
            <w:r>
              <w:rPr>
                <w:rStyle w:val="58"/>
                <w:rFonts w:ascii="宋体" w:hAnsi="宋体"/>
                <w:szCs w:val="21"/>
              </w:rPr>
              <w:t>5人</w:t>
            </w:r>
            <w:r>
              <w:rPr>
                <w:rStyle w:val="58"/>
                <w:rFonts w:hint="eastAsia" w:ascii="宋体" w:hAnsi="宋体"/>
                <w:szCs w:val="21"/>
              </w:rPr>
              <w:t>及</w:t>
            </w:r>
            <w:r>
              <w:rPr>
                <w:rStyle w:val="58"/>
                <w:rFonts w:ascii="宋体" w:hAnsi="宋体"/>
                <w:szCs w:val="21"/>
              </w:rPr>
              <w:t>以上单数。</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7.1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是否授权评标委员会确定中标人</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否</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7.3</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履约担保</w:t>
            </w:r>
          </w:p>
        </w:tc>
        <w:tc>
          <w:tcPr>
            <w:tcW w:w="3405" w:type="pct"/>
            <w:tcBorders>
              <w:top w:val="single" w:color="000000" w:sz="6" w:space="0"/>
              <w:left w:val="single" w:color="000000" w:sz="6" w:space="0"/>
              <w:bottom w:val="single" w:color="000000" w:sz="6" w:space="0"/>
              <w:right w:val="single" w:color="000000" w:sz="12" w:space="0"/>
            </w:tcBorders>
          </w:tcPr>
          <w:p>
            <w:pPr>
              <w:pStyle w:val="19"/>
            </w:pPr>
            <w:r>
              <w:rPr>
                <w:rFonts w:hint="eastAsia"/>
              </w:rPr>
              <w:sym w:font="Wingdings 2" w:char="0052"/>
            </w:r>
            <w:r>
              <w:rPr>
                <w:rFonts w:hint="eastAsia" w:eastAsia="宋体"/>
                <w:sz w:val="21"/>
                <w:szCs w:val="24"/>
              </w:rPr>
              <w:t>投标保证金转为履约保证金</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 需要补充的其他内容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33"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11.1词语定义</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994"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11.1.1</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类似工程</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b/>
                <w:bCs/>
                <w:szCs w:val="21"/>
              </w:rPr>
              <w:t>类似工程是指：</w:t>
            </w:r>
            <w:r>
              <w:rPr>
                <w:rStyle w:val="58"/>
                <w:rFonts w:hint="eastAsia" w:ascii="宋体" w:hAnsi="宋体"/>
                <w:b/>
                <w:bCs/>
                <w:szCs w:val="21"/>
              </w:rPr>
              <w:t>近三年（2</w:t>
            </w:r>
            <w:r>
              <w:rPr>
                <w:rStyle w:val="58"/>
                <w:rFonts w:ascii="宋体" w:hAnsi="宋体"/>
                <w:b/>
                <w:bCs/>
                <w:szCs w:val="21"/>
              </w:rPr>
              <w:t>022</w:t>
            </w:r>
            <w:r>
              <w:rPr>
                <w:rStyle w:val="58"/>
                <w:rFonts w:hint="eastAsia" w:ascii="宋体" w:hAnsi="宋体"/>
                <w:b/>
                <w:bCs/>
                <w:szCs w:val="21"/>
              </w:rPr>
              <w:t>年</w:t>
            </w:r>
            <w:r>
              <w:rPr>
                <w:rStyle w:val="58"/>
                <w:rFonts w:ascii="宋体" w:hAnsi="宋体"/>
                <w:b/>
                <w:bCs/>
                <w:szCs w:val="21"/>
              </w:rPr>
              <w:t>1</w:t>
            </w:r>
            <w:r>
              <w:rPr>
                <w:rStyle w:val="58"/>
                <w:b/>
                <w:bCs/>
              </w:rPr>
              <w:t>0</w:t>
            </w:r>
            <w:r>
              <w:rPr>
                <w:rStyle w:val="58"/>
                <w:rFonts w:hint="eastAsia" w:ascii="宋体" w:hAnsi="宋体"/>
                <w:b/>
                <w:bCs/>
                <w:szCs w:val="21"/>
              </w:rPr>
              <w:t>月1日至今）单项合同额不低于2</w:t>
            </w:r>
            <w:r>
              <w:rPr>
                <w:rStyle w:val="58"/>
                <w:rFonts w:ascii="宋体" w:hAnsi="宋体"/>
                <w:b/>
                <w:bCs/>
                <w:szCs w:val="21"/>
              </w:rPr>
              <w:t>00</w:t>
            </w:r>
            <w:r>
              <w:rPr>
                <w:rStyle w:val="58"/>
                <w:rFonts w:hint="eastAsia" w:ascii="宋体" w:hAnsi="宋体"/>
                <w:b/>
                <w:bCs/>
                <w:szCs w:val="21"/>
              </w:rPr>
              <w:t>万元类似工业项目施工合同；</w:t>
            </w:r>
            <w:r>
              <w:rPr>
                <w:rStyle w:val="58"/>
                <w:rFonts w:ascii="宋体" w:hAnsi="宋体"/>
                <w:szCs w:val="21"/>
              </w:rPr>
              <w:t xml:space="preserve"> </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2260" w:hRule="exact"/>
          <w:jc w:val="center"/>
        </w:trPr>
        <w:tc>
          <w:tcPr>
            <w:tcW w:w="469" w:type="pct"/>
            <w:tcBorders>
              <w:top w:val="single" w:color="000000" w:sz="6" w:space="0"/>
              <w:left w:val="single" w:color="000000" w:sz="12"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11.1.2</w:t>
            </w: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不良行为记录</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不良行为记录是指：</w:t>
            </w:r>
            <w:r>
              <w:rPr>
                <w:rStyle w:val="58"/>
                <w:szCs w:val="21"/>
              </w:rPr>
              <w:t>a、</w:t>
            </w:r>
            <w:r>
              <w:rPr>
                <w:rStyle w:val="58"/>
                <w:rFonts w:ascii="宋体" w:hAnsi="宋体"/>
                <w:szCs w:val="21"/>
              </w:rPr>
              <w:t>企业不良行为记录情况主要是近年投标人在工程建设过程中因违反有关工程建设的法律、法规、规章或强制性标准和执业行为规范，经县级以上建设行政主管部门或其委托的执法监督机构查实和行政处罚，形成的不良行为记录。</w:t>
            </w:r>
            <w:r>
              <w:rPr>
                <w:rStyle w:val="58"/>
                <w:b/>
                <w:szCs w:val="21"/>
              </w:rPr>
              <w:t>b、经裁判文书网查询投标人有单位行贿犯罪记录的（投标人自行查询，并附在投标文件中）。</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2" w:hRule="exact"/>
          <w:jc w:val="center"/>
        </w:trPr>
        <w:tc>
          <w:tcPr>
            <w:tcW w:w="5000" w:type="pct"/>
            <w:gridSpan w:val="3"/>
            <w:tcBorders>
              <w:top w:val="single" w:color="000000" w:sz="6" w:space="0"/>
              <w:left w:val="single" w:color="000000" w:sz="12" w:space="0"/>
              <w:bottom w:val="single" w:color="000000" w:sz="12"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11.2 “暗标”评审</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12"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1125" w:type="pct"/>
            <w:tcBorders>
              <w:top w:val="single" w:color="000000" w:sz="12" w:space="0"/>
              <w:left w:val="single" w:color="000000" w:sz="6" w:space="0"/>
              <w:bottom w:val="single" w:color="000000" w:sz="6" w:space="0"/>
              <w:right w:val="single" w:color="000000" w:sz="6" w:space="0"/>
            </w:tcBorders>
          </w:tcPr>
          <w:p>
            <w:pPr>
              <w:spacing w:line="276" w:lineRule="auto"/>
              <w:rPr>
                <w:rStyle w:val="58"/>
                <w:rFonts w:ascii="宋体" w:hAnsi="宋体"/>
                <w:szCs w:val="21"/>
              </w:rPr>
            </w:pPr>
            <w:r>
              <w:rPr>
                <w:rStyle w:val="58"/>
                <w:rFonts w:ascii="宋体" w:hAnsi="宋体"/>
                <w:szCs w:val="21"/>
              </w:rPr>
              <w:t>施工组织设计是否采用“暗标”评审方式</w:t>
            </w:r>
          </w:p>
        </w:tc>
        <w:tc>
          <w:tcPr>
            <w:tcW w:w="3405" w:type="pct"/>
            <w:tcBorders>
              <w:top w:val="single" w:color="000000" w:sz="12"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不采用</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58"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11.3  投标文件电子版</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vAlign w:val="center"/>
          </w:tcPr>
          <w:p>
            <w:pPr>
              <w:spacing w:line="276" w:lineRule="auto"/>
              <w:rPr>
                <w:rStyle w:val="58"/>
                <w:rFonts w:ascii="宋体" w:hAnsi="宋体"/>
                <w:szCs w:val="21"/>
              </w:rPr>
            </w:pPr>
            <w:r>
              <w:rPr>
                <w:rStyle w:val="58"/>
                <w:rFonts w:ascii="宋体" w:hAnsi="宋体"/>
                <w:szCs w:val="21"/>
              </w:rPr>
              <w:t>是否要求投标人在递交投标文件时，递交投标文件电子版</w:t>
            </w:r>
          </w:p>
        </w:tc>
        <w:tc>
          <w:tcPr>
            <w:tcW w:w="3405" w:type="pct"/>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要求，投标文件电子版内容：</w:t>
            </w:r>
          </w:p>
          <w:p>
            <w:pPr>
              <w:spacing w:line="276" w:lineRule="auto"/>
              <w:rPr>
                <w:rStyle w:val="58"/>
                <w:rFonts w:ascii="宋体" w:hAnsi="宋体"/>
                <w:szCs w:val="21"/>
              </w:rPr>
            </w:pPr>
            <w:r>
              <w:rPr>
                <w:rStyle w:val="58"/>
                <w:rFonts w:ascii="宋体" w:hAnsi="宋体"/>
                <w:szCs w:val="21"/>
              </w:rPr>
              <w:t>投标文件电子版份数：</w:t>
            </w:r>
            <w:r>
              <w:rPr>
                <w:rStyle w:val="58"/>
                <w:rFonts w:hint="eastAsia" w:ascii="宋体" w:hAnsi="宋体"/>
                <w:szCs w:val="21"/>
              </w:rPr>
              <w:t>一</w:t>
            </w:r>
            <w:r>
              <w:rPr>
                <w:rStyle w:val="58"/>
                <w:rFonts w:ascii="宋体" w:hAnsi="宋体"/>
                <w:szCs w:val="21"/>
              </w:rPr>
              <w:t>份；</w:t>
            </w:r>
          </w:p>
          <w:p>
            <w:pPr>
              <w:spacing w:line="276" w:lineRule="auto"/>
            </w:pPr>
            <w:r>
              <w:rPr>
                <w:rStyle w:val="58"/>
                <w:rFonts w:ascii="宋体" w:hAnsi="宋体"/>
                <w:szCs w:val="21"/>
              </w:rPr>
              <w:t>投标文件电子版形式：PDF</w:t>
            </w:r>
            <w:r>
              <w:rPr>
                <w:rStyle w:val="58"/>
                <w:rFonts w:hint="eastAsia" w:ascii="宋体" w:hAnsi="宋体"/>
                <w:szCs w:val="21"/>
              </w:rPr>
              <w:t>、</w:t>
            </w:r>
            <w:r>
              <w:rPr>
                <w:rStyle w:val="58"/>
                <w:rFonts w:ascii="宋体" w:hAnsi="宋体"/>
                <w:szCs w:val="21"/>
              </w:rPr>
              <w:t>WORD</w:t>
            </w:r>
            <w:r>
              <w:rPr>
                <w:rStyle w:val="58"/>
                <w:rFonts w:hint="eastAsia" w:ascii="宋体" w:hAnsi="宋体"/>
                <w:szCs w:val="21"/>
              </w:rPr>
              <w:t>、</w:t>
            </w:r>
            <w:r>
              <w:rPr>
                <w:rStyle w:val="58"/>
                <w:rFonts w:ascii="宋体" w:hAnsi="宋体"/>
                <w:szCs w:val="21"/>
              </w:rPr>
              <w:t>EXCEL格式，《分部分项工程量清单与计价表》应为EXCEL格式</w:t>
            </w:r>
            <w:r>
              <w:rPr>
                <w:rStyle w:val="58"/>
                <w:rFonts w:hint="eastAsia" w:ascii="宋体" w:hAnsi="宋体"/>
                <w:szCs w:val="21"/>
              </w:rPr>
              <w:t>，并应包含广联达软件版报价文件。</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6"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11.4 计算机辅助评标</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1125" w:type="pct"/>
            <w:tcBorders>
              <w:top w:val="single" w:color="000000" w:sz="6" w:space="0"/>
              <w:left w:val="single" w:color="000000" w:sz="6" w:space="0"/>
              <w:bottom w:val="single" w:color="000000" w:sz="6" w:space="0"/>
              <w:right w:val="single" w:color="000000" w:sz="6" w:space="0"/>
            </w:tcBorders>
          </w:tcPr>
          <w:p>
            <w:pPr>
              <w:spacing w:line="276" w:lineRule="auto"/>
              <w:rPr>
                <w:rStyle w:val="58"/>
                <w:rFonts w:ascii="宋体" w:hAnsi="宋体"/>
                <w:szCs w:val="21"/>
              </w:rPr>
            </w:pPr>
            <w:r>
              <w:rPr>
                <w:rStyle w:val="58"/>
                <w:rFonts w:ascii="宋体" w:hAnsi="宋体"/>
                <w:szCs w:val="21"/>
              </w:rPr>
              <w:t>是否实行计算机辅助评标</w:t>
            </w:r>
          </w:p>
        </w:tc>
        <w:tc>
          <w:tcPr>
            <w:tcW w:w="3405" w:type="pct"/>
            <w:tcBorders>
              <w:top w:val="single" w:color="000000" w:sz="6" w:space="0"/>
              <w:left w:val="single" w:color="000000" w:sz="6"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否</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48"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11.5 投标人代表出席开标会</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4530" w:type="pct"/>
            <w:gridSpan w:val="2"/>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Fonts w:hint="eastAsia"/>
                <w:b/>
                <w:bCs/>
              </w:rPr>
              <w:t>按照本须知</w:t>
            </w:r>
            <w:r>
              <w:fldChar w:fldCharType="begin"/>
            </w:r>
            <w:r>
              <w:instrText xml:space="preserve"> HYPERLINK \l "开标时间和地点" </w:instrText>
            </w:r>
            <w:r>
              <w:fldChar w:fldCharType="separate"/>
            </w:r>
            <w:r>
              <w:rPr>
                <w:rFonts w:hint="eastAsia"/>
                <w:b/>
                <w:bCs/>
              </w:rPr>
              <w:t>第</w:t>
            </w:r>
            <w:bookmarkStart w:id="28" w:name="_Hlt363566421"/>
            <w:r>
              <w:rPr>
                <w:rFonts w:hint="eastAsia"/>
                <w:b/>
                <w:bCs/>
              </w:rPr>
              <w:t>5</w:t>
            </w:r>
            <w:bookmarkEnd w:id="28"/>
            <w:r>
              <w:rPr>
                <w:rFonts w:hint="eastAsia"/>
                <w:b/>
                <w:bCs/>
              </w:rPr>
              <w:t>.</w:t>
            </w:r>
            <w:bookmarkStart w:id="29" w:name="_Hlt363565524"/>
            <w:bookmarkStart w:id="30" w:name="_Hlt364843077"/>
            <w:bookmarkStart w:id="31" w:name="_Hlt364843078"/>
            <w:r>
              <w:rPr>
                <w:rFonts w:hint="eastAsia"/>
                <w:b/>
                <w:bCs/>
              </w:rPr>
              <w:t>1</w:t>
            </w:r>
            <w:bookmarkEnd w:id="29"/>
            <w:bookmarkEnd w:id="30"/>
            <w:bookmarkEnd w:id="31"/>
            <w:r>
              <w:rPr>
                <w:rFonts w:hint="eastAsia"/>
                <w:b/>
                <w:bCs/>
              </w:rPr>
              <w:t>款</w:t>
            </w:r>
            <w:r>
              <w:rPr>
                <w:rFonts w:hint="eastAsia"/>
                <w:b/>
                <w:bCs/>
              </w:rPr>
              <w:fldChar w:fldCharType="end"/>
            </w:r>
            <w:r>
              <w:rPr>
                <w:rFonts w:hint="eastAsia"/>
                <w:b/>
                <w:bCs/>
              </w:rPr>
              <w:t>的规定，招标人邀请</w:t>
            </w:r>
            <w:r>
              <w:rPr>
                <w:rFonts w:hint="eastAsia"/>
                <w:b/>
                <w:bCs/>
                <w:highlight w:val="yellow"/>
              </w:rPr>
              <w:t>所有投标人的法定代表人或其委托代理人参加现场开标会，同时登录重汽</w:t>
            </w:r>
            <w:r>
              <w:rPr>
                <w:b/>
                <w:bCs/>
                <w:highlight w:val="yellow"/>
              </w:rPr>
              <w:t>e</w:t>
            </w:r>
            <w:r>
              <w:rPr>
                <w:rFonts w:hint="eastAsia"/>
                <w:b/>
                <w:bCs/>
                <w:highlight w:val="yellow"/>
              </w:rPr>
              <w:t>采通平台</w:t>
            </w:r>
            <w:r>
              <w:rPr>
                <w:rFonts w:hint="eastAsia"/>
                <w:b/>
                <w:bCs/>
              </w:rPr>
              <w:t>。投标人的法定代表人或其委托代理人应当按时参加开标会，并在招标人按开标程序进行点名时，向招标人提交法定代表人身份证明文件（或法定代表人授权委托书）原件及本人身份证原件供校验。</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41"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11.6 中标公示</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4530" w:type="pct"/>
            <w:gridSpan w:val="2"/>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02"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11.7 知识产权</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4530" w:type="pct"/>
            <w:gridSpan w:val="2"/>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构成本招标文件各个组成部分的文件，未经招标人书面同意，投标人不得擅自复印和用于非本招标项目所需的其他目的。招标人全部或者部分使用未中标人投标文件中的技术成果或技术方案时，需征得其书面同意，并不得擅自复印或提供给第三人。</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67"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11.8 重新招标的其他情形</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4530" w:type="pct"/>
            <w:gridSpan w:val="2"/>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除投标人须知正文第8条规定的情形外，除非已经产生中标候选人，在投标有效期内同意延长投标有效期的投标人少于三个的，招标人应当依法重新招标。</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416"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11.9 同义词语</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469" w:type="pct"/>
            <w:tcBorders>
              <w:top w:val="single" w:color="000000" w:sz="6" w:space="0"/>
              <w:left w:val="single" w:color="000000" w:sz="12" w:space="0"/>
              <w:bottom w:val="single" w:color="000000" w:sz="6" w:space="0"/>
              <w:right w:val="single" w:color="000000" w:sz="6" w:space="0"/>
            </w:tcBorders>
          </w:tcPr>
          <w:p>
            <w:pPr>
              <w:spacing w:line="276" w:lineRule="auto"/>
              <w:rPr>
                <w:rStyle w:val="58"/>
                <w:rFonts w:ascii="宋体" w:hAnsi="宋体"/>
                <w:szCs w:val="21"/>
              </w:rPr>
            </w:pPr>
          </w:p>
        </w:tc>
        <w:tc>
          <w:tcPr>
            <w:tcW w:w="4530" w:type="pct"/>
            <w:gridSpan w:val="2"/>
            <w:tcBorders>
              <w:top w:val="single" w:color="000000" w:sz="6" w:space="0"/>
              <w:left w:val="single" w:color="000000" w:sz="6" w:space="0"/>
              <w:bottom w:val="single" w:color="000000" w:sz="6" w:space="0"/>
              <w:right w:val="single" w:color="000000" w:sz="12" w:space="0"/>
            </w:tcBorders>
          </w:tcPr>
          <w:p>
            <w:pPr>
              <w:spacing w:line="276" w:lineRule="auto"/>
              <w:rPr>
                <w:rStyle w:val="58"/>
                <w:rFonts w:ascii="宋体" w:hAnsi="宋体"/>
                <w:szCs w:val="21"/>
              </w:rPr>
            </w:pPr>
            <w:r>
              <w:rPr>
                <w:rStyle w:val="58"/>
                <w:rFonts w:ascii="宋体" w:hAnsi="宋体"/>
                <w:szCs w:val="21"/>
              </w:rPr>
              <w:t>构成招标文件组成部分的“通用合同条款”、“专用合同条款”、“技术标准和要求”和“工程量清单”等章节中出现的措辞“发包人”和“承包人”，在招标投标阶段应当分别按“招标人”和“投标人”进行理解。</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66" w:hRule="exac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11.10 解释权</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5000" w:type="pct"/>
            <w:gridSpan w:val="3"/>
            <w:tcBorders>
              <w:top w:val="single" w:color="000000" w:sz="6" w:space="0"/>
              <w:left w:val="single" w:color="000000" w:sz="12" w:space="0"/>
              <w:bottom w:val="single" w:color="000000" w:sz="6" w:space="0"/>
              <w:right w:val="single" w:color="000000" w:sz="12" w:space="0"/>
            </w:tcBorders>
          </w:tcPr>
          <w:p>
            <w:pPr>
              <w:spacing w:line="276" w:lineRule="auto"/>
              <w:ind w:firstLine="420" w:firstLineChars="200"/>
              <w:rPr>
                <w:rStyle w:val="58"/>
                <w:rFonts w:ascii="宋体" w:hAnsi="宋体"/>
                <w:szCs w:val="21"/>
              </w:rPr>
            </w:pPr>
            <w:r>
              <w:rPr>
                <w:rStyle w:val="58"/>
                <w:rFonts w:ascii="宋体" w:hAnsi="宋体"/>
                <w:szCs w:val="21"/>
              </w:rPr>
              <w:t>构成本招标文件的各个组成文件应互为解释，互为说明；如有不明确或不一致，构成合同文件组成内容的，以合同文件约定内容为准，且以专用合同条款约定的合同文件优先顺序解释；除招标文件中有特别规定外，仅适用于招标投标阶段的规定，按</w:t>
            </w:r>
            <w:r>
              <w:rPr>
                <w:rStyle w:val="58"/>
                <w:rFonts w:hint="eastAsia" w:ascii="宋体" w:hAnsi="宋体"/>
                <w:szCs w:val="21"/>
              </w:rPr>
              <w:t>招标公告</w:t>
            </w:r>
            <w:r>
              <w:rPr>
                <w:rStyle w:val="58"/>
                <w:rFonts w:ascii="宋体" w:hAnsi="宋体"/>
                <w:szCs w:val="21"/>
              </w:rPr>
              <w:t>、投标人须知、评标办法、投标文件格式的先后顺序解释；同一组成文件中就同一事项的规定或约定不一致的，以编排顺序在后者为准；同一组成文件不同版本之间有不一致的，以形成时间在后者为准。按本款前述规定仍不能形成结论的，由招标人负责解释。</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trHeight w:val="378" w:hRule="atLeast"/>
          <w:jc w:val="center"/>
        </w:trPr>
        <w:tc>
          <w:tcPr>
            <w:tcW w:w="5000" w:type="pct"/>
            <w:gridSpan w:val="3"/>
            <w:tcBorders>
              <w:top w:val="single" w:color="000000" w:sz="6" w:space="0"/>
              <w:left w:val="single" w:color="000000" w:sz="12" w:space="0"/>
              <w:bottom w:val="single" w:color="000000" w:sz="6" w:space="0"/>
              <w:right w:val="single" w:color="000000" w:sz="12" w:space="0"/>
            </w:tcBorders>
            <w:vAlign w:val="center"/>
          </w:tcPr>
          <w:p>
            <w:pPr>
              <w:spacing w:line="276" w:lineRule="auto"/>
              <w:rPr>
                <w:rStyle w:val="58"/>
                <w:rFonts w:ascii="宋体" w:hAnsi="宋体"/>
                <w:szCs w:val="21"/>
              </w:rPr>
            </w:pPr>
            <w:r>
              <w:rPr>
                <w:rStyle w:val="58"/>
                <w:rFonts w:ascii="宋体" w:hAnsi="宋体"/>
                <w:szCs w:val="21"/>
              </w:rPr>
              <w:t>11.11 招标人补充的其他内容</w:t>
            </w:r>
          </w:p>
        </w:tc>
      </w:tr>
      <w:tr>
        <w:tblPrEx>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CellMar>
            <w:top w:w="0" w:type="dxa"/>
            <w:left w:w="0" w:type="dxa"/>
            <w:bottom w:w="0" w:type="dxa"/>
            <w:right w:w="0" w:type="dxa"/>
          </w:tblCellMar>
        </w:tblPrEx>
        <w:trPr>
          <w:jc w:val="center"/>
        </w:trPr>
        <w:tc>
          <w:tcPr>
            <w:tcW w:w="5000" w:type="pct"/>
            <w:gridSpan w:val="3"/>
            <w:tcBorders>
              <w:top w:val="single" w:color="000000" w:sz="6" w:space="0"/>
              <w:left w:val="single" w:color="000000" w:sz="12" w:space="0"/>
              <w:bottom w:val="single" w:color="000000" w:sz="12" w:space="0"/>
              <w:right w:val="single" w:color="000000" w:sz="12" w:space="0"/>
            </w:tcBorders>
          </w:tcPr>
          <w:p>
            <w:pPr>
              <w:numPr>
                <w:ilvl w:val="0"/>
                <w:numId w:val="6"/>
              </w:numPr>
              <w:snapToGrid w:val="0"/>
              <w:spacing w:line="276" w:lineRule="auto"/>
            </w:pPr>
            <w:r>
              <w:rPr>
                <w:rFonts w:hint="eastAsia"/>
              </w:rPr>
              <w:t>预</w:t>
            </w:r>
            <w:r>
              <w:t>中标</w:t>
            </w:r>
            <w:r>
              <w:rPr>
                <w:rFonts w:hint="eastAsia"/>
              </w:rPr>
              <w:t>单位</w:t>
            </w:r>
            <w:r>
              <w:t>放弃中标、因不可抗力不能履行合同、不按照招标文件要求提交履约保证金</w:t>
            </w:r>
            <w:r>
              <w:rPr>
                <w:rFonts w:hint="eastAsia"/>
              </w:rPr>
              <w:t>/保函</w:t>
            </w:r>
            <w:r>
              <w:t>，或者被查实存在影响中标结果的违法行为等情形，不符合中标条件的，招标人可以按照评标委员会提出的中标候选人名单</w:t>
            </w:r>
            <w:r>
              <w:rPr>
                <w:rFonts w:hint="eastAsia"/>
              </w:rPr>
              <w:t>择优</w:t>
            </w:r>
            <w:r>
              <w:t>确定其他中标候选人为中标人，也可以重新招标。</w:t>
            </w:r>
          </w:p>
          <w:p>
            <w:pPr>
              <w:numPr>
                <w:ilvl w:val="0"/>
                <w:numId w:val="6"/>
              </w:numPr>
              <w:snapToGrid w:val="0"/>
              <w:spacing w:line="276" w:lineRule="auto"/>
              <w:rPr>
                <w:b/>
                <w:bCs/>
              </w:rPr>
            </w:pPr>
            <w:r>
              <w:rPr>
                <w:rFonts w:hint="eastAsia"/>
                <w:b/>
                <w:bCs/>
              </w:rPr>
              <w:t>工程量清单编制及施工阶段造价咨询（不驻场跟踪服务）以中标人的中标价为依据。其中：</w:t>
            </w:r>
          </w:p>
          <w:p>
            <w:pPr>
              <w:snapToGrid w:val="0"/>
              <w:spacing w:line="276" w:lineRule="auto"/>
              <w:ind w:firstLine="422" w:firstLineChars="200"/>
              <w:rPr>
                <w:b/>
                <w:bCs/>
              </w:rPr>
            </w:pPr>
            <w:r>
              <w:rPr>
                <w:rFonts w:hint="eastAsia"/>
                <w:b/>
                <w:bCs/>
              </w:rPr>
              <w:t>招标阶段清单编制：固定费率0.218‰，施工单位中标并签订施工合同后一次性支付。</w:t>
            </w:r>
          </w:p>
          <w:p>
            <w:pPr>
              <w:snapToGrid w:val="0"/>
              <w:spacing w:line="276" w:lineRule="auto"/>
              <w:ind w:firstLine="422" w:firstLineChars="200"/>
              <w:rPr>
                <w:b/>
                <w:bCs/>
              </w:rPr>
            </w:pPr>
            <w:r>
              <w:rPr>
                <w:rFonts w:hint="eastAsia"/>
                <w:b/>
                <w:bCs/>
              </w:rPr>
              <w:t>施工阶段造价咨询（不驻场跟踪服务）：固定费率0.109‰，待所跟踪合同完成竣工结算正式报审后一次性支付。</w:t>
            </w:r>
          </w:p>
          <w:p>
            <w:pPr>
              <w:snapToGrid w:val="0"/>
              <w:spacing w:line="276" w:lineRule="auto"/>
              <w:ind w:firstLine="422" w:firstLineChars="200"/>
              <w:rPr>
                <w:b/>
                <w:bCs/>
              </w:rPr>
            </w:pPr>
            <w:r>
              <w:rPr>
                <w:rFonts w:hint="eastAsia"/>
                <w:b/>
                <w:bCs/>
              </w:rPr>
              <w:t>上述费用由中标人单独向造价咨询单位缴纳，持相应收费凭证，按招标文件约定时间申请退还投标保证金，收费基数为成交价格，各报价人无需将本项费用单独列项，但应将其综合考虑到报价中。</w:t>
            </w:r>
          </w:p>
          <w:p>
            <w:pPr>
              <w:numPr>
                <w:ilvl w:val="0"/>
                <w:numId w:val="6"/>
              </w:numPr>
              <w:snapToGrid w:val="0"/>
              <w:spacing w:line="276" w:lineRule="auto"/>
            </w:pPr>
            <w:r>
              <w:rPr>
                <w:rFonts w:hint="eastAsia"/>
              </w:rPr>
              <w:t>投标人应到工地踏勘以充分了解工地位置、周边情况、地质水文、道路、储存空间、装卸限制及任何其它足以影响投标报价的情况。任何因忽视或误解工地情况而导致的索赔或工期延长申请将不予批准。施工期间服从、配合招标人厂区生产要求。</w:t>
            </w:r>
          </w:p>
          <w:p>
            <w:pPr>
              <w:numPr>
                <w:ilvl w:val="0"/>
                <w:numId w:val="6"/>
              </w:numPr>
              <w:snapToGrid w:val="0"/>
              <w:spacing w:line="276" w:lineRule="auto"/>
              <w:rPr>
                <w:color w:val="FF0000"/>
                <w:u w:val="single"/>
              </w:rPr>
            </w:pPr>
            <w:r>
              <w:rPr>
                <w:rFonts w:hint="eastAsia"/>
                <w:b/>
                <w:bCs/>
              </w:rPr>
              <w:t>现场施工要求</w:t>
            </w:r>
          </w:p>
          <w:p>
            <w:pPr>
              <w:snapToGrid w:val="0"/>
              <w:spacing w:line="276" w:lineRule="auto"/>
              <w:ind w:firstLine="420" w:firstLineChars="200"/>
            </w:pPr>
            <w:r>
              <w:rPr>
                <w:rFonts w:hint="eastAsia"/>
              </w:rPr>
              <w:sym w:font="Wingdings 2" w:char="F052"/>
            </w:r>
            <w:r>
              <w:rPr>
                <w:rFonts w:hint="eastAsia"/>
              </w:rPr>
              <w:t>投标人投报的项目班子成员必须始终在工地现场管理，不得擅自更换、不得兼职其他项目，否则按合同条款执行。施工过程中如发现另行设立执行项目经理的情况，给予警告或违约金处罚，若仍不整改，视为承包人违约，招标人有权终止协议并要求赔偿损失。</w:t>
            </w:r>
          </w:p>
          <w:p>
            <w:pPr>
              <w:snapToGrid w:val="0"/>
              <w:spacing w:line="276" w:lineRule="auto"/>
              <w:ind w:firstLine="420" w:firstLineChars="200"/>
            </w:pPr>
            <w:r>
              <w:rPr>
                <w:rFonts w:hint="eastAsia"/>
              </w:rPr>
              <w:sym w:font="Wingdings 2" w:char="F052"/>
            </w:r>
            <w:r>
              <w:rPr>
                <w:rFonts w:hint="eastAsia"/>
              </w:rPr>
              <w:t>现场不提供办公区、生活区，施工方自行考虑。</w:t>
            </w:r>
          </w:p>
          <w:p>
            <w:pPr>
              <w:snapToGrid w:val="0"/>
              <w:spacing w:line="276" w:lineRule="auto"/>
              <w:ind w:firstLine="420" w:firstLineChars="200"/>
            </w:pPr>
            <w:r>
              <w:rPr>
                <w:rFonts w:hint="eastAsia"/>
              </w:rPr>
              <w:sym w:font="Wingdings 2" w:char="F052"/>
            </w:r>
            <w:r>
              <w:rPr>
                <w:rFonts w:hint="eastAsia"/>
              </w:rPr>
              <w:t>发包人在施工范围周边指定水电接驳点，由中标人自行敷设至施工区，并自行考虑临时停水、停电的应急预案（费用已在投标报价中综合考虑，不再另计）；施工水电费按表计量缴费，发生费用由中标人承担，据实按厂区价格结算缴纳至厂区管理单位，否则在结算时按照直接费的0.</w:t>
            </w:r>
            <w:r>
              <w:t>1</w:t>
            </w:r>
            <w:r>
              <w:rPr>
                <w:rFonts w:hint="eastAsia"/>
              </w:rPr>
              <w:t>%扣除水电费用。</w:t>
            </w:r>
          </w:p>
          <w:p>
            <w:pPr>
              <w:snapToGrid w:val="0"/>
              <w:spacing w:line="276" w:lineRule="auto"/>
              <w:ind w:firstLine="420" w:firstLineChars="200"/>
              <w:rPr>
                <w:rFonts w:ascii="宋体" w:hAnsi="宋体" w:cs="宋体"/>
                <w:szCs w:val="21"/>
              </w:rPr>
            </w:pPr>
            <w:r>
              <w:rPr>
                <w:rFonts w:hint="eastAsia"/>
              </w:rPr>
              <w:sym w:font="Wingdings 2" w:char="F052"/>
            </w:r>
            <w:r>
              <w:rPr>
                <w:rFonts w:hint="eastAsia" w:ascii="宋体" w:hAnsi="宋体" w:cs="宋体"/>
                <w:szCs w:val="21"/>
              </w:rPr>
              <w:t>施工期间应服从</w:t>
            </w:r>
            <w:r>
              <w:rPr>
                <w:rFonts w:hint="eastAsia"/>
              </w:rPr>
              <w:t>厂区</w:t>
            </w:r>
            <w:r>
              <w:rPr>
                <w:rFonts w:hint="eastAsia" w:ascii="宋体" w:hAnsi="宋体" w:cs="宋体"/>
                <w:szCs w:val="21"/>
              </w:rPr>
              <w:t>安全文明管理规定，车辆人员进出管理规定（物流运输、施工车辆，优先选用重汽品牌）以及一切厂区</w:t>
            </w:r>
            <w:r>
              <w:rPr>
                <w:rFonts w:hint="eastAsia"/>
              </w:rPr>
              <w:t>管理</w:t>
            </w:r>
            <w:r>
              <w:rPr>
                <w:rFonts w:hint="eastAsia" w:ascii="宋体" w:hAnsi="宋体" w:cs="宋体"/>
                <w:szCs w:val="21"/>
              </w:rPr>
              <w:t>制度，如人员登记、防疫管理、禁止吸烟、特种作业、动火审批用电审批、登高审批及相关安全环保检查等。</w:t>
            </w:r>
          </w:p>
          <w:p>
            <w:pPr>
              <w:snapToGrid w:val="0"/>
              <w:spacing w:line="276" w:lineRule="auto"/>
              <w:ind w:firstLine="420" w:firstLineChars="200"/>
            </w:pPr>
            <w:r>
              <w:rPr>
                <w:rFonts w:hint="eastAsia"/>
              </w:rPr>
              <w:sym w:font="Wingdings 2" w:char="F052"/>
            </w:r>
            <w:r>
              <w:t>中标人自行负责进场设备材料物资的看护责任，若现场发生的丢失损坏，不得以此向招标人索赔工期和费用。</w:t>
            </w:r>
          </w:p>
          <w:p>
            <w:pPr>
              <w:snapToGrid w:val="0"/>
              <w:spacing w:line="276" w:lineRule="auto"/>
              <w:ind w:firstLine="420" w:firstLineChars="200"/>
            </w:pPr>
            <w:r>
              <w:rPr>
                <w:rFonts w:hint="eastAsia"/>
              </w:rPr>
              <w:sym w:font="Wingdings 2" w:char="F052"/>
            </w:r>
            <w:r>
              <w:rPr>
                <w:rFonts w:hint="eastAsia"/>
              </w:rPr>
              <w:t>中标人自进场施工开始至交接验收前负责施工范围内的成品保护工作，包括自身自己、其它施工单位以及招标单位的成品、半成品等，如发生损坏、更改变化，由中标人负责免费进行恢复原状。尤其是施工区域地下管网工程，须采取成品保护措施，施工前提前告知报备，同时施工前要采取相关技术手段，结合厂区原有管网图纸对施工场地区域的地下管网进行提前探测，地下管线探测清楚后，再进行后续施工，施工过程安排人员旁站监督，施工结束及时与相关方交接见证，严禁野蛮施工。因施工造成地下原有管网破坏需要无条件的进行免费维修，同时承担影响生产带来的相关损失。</w:t>
            </w:r>
          </w:p>
          <w:p>
            <w:pPr>
              <w:snapToGrid w:val="0"/>
              <w:spacing w:line="276" w:lineRule="auto"/>
              <w:ind w:firstLine="420" w:firstLineChars="200"/>
            </w:pPr>
            <w:r>
              <w:rPr>
                <w:rFonts w:hint="eastAsia"/>
              </w:rPr>
              <w:sym w:font="Wingdings 2" w:char="F052"/>
            </w:r>
            <w:r>
              <w:rPr>
                <w:rFonts w:hint="eastAsia"/>
              </w:rPr>
              <w:t>施工期间不得以进入冬雨季施工、中高考期间、秋冬季大气污染应急响应（均为可预见因素）、法定节假日等作为工期延误的理由，必须采取施工措施保证施工质量和进度。</w:t>
            </w:r>
          </w:p>
          <w:p>
            <w:pPr>
              <w:snapToGrid w:val="0"/>
              <w:spacing w:line="276" w:lineRule="auto"/>
              <w:ind w:firstLine="420" w:firstLineChars="200"/>
            </w:pPr>
            <w:r>
              <w:rPr>
                <w:rFonts w:hint="eastAsia"/>
              </w:rPr>
              <w:sym w:font="Wingdings 2" w:char="F052"/>
            </w:r>
            <w:r>
              <w:t>施工期间必须采取抑尘降尘措施，</w:t>
            </w:r>
            <w:r>
              <w:rPr>
                <w:rFonts w:hint="eastAsia"/>
              </w:rPr>
              <w:t>施工区域采用</w:t>
            </w:r>
            <w:r>
              <w:t>封闭围挡进行封闭施工，与生产交叉时应采取保生产措施，服从</w:t>
            </w:r>
            <w:r>
              <w:rPr>
                <w:rFonts w:hint="eastAsia"/>
              </w:rPr>
              <w:t>厂区</w:t>
            </w:r>
            <w:r>
              <w:t>生产需要，</w:t>
            </w:r>
            <w:r>
              <w:rPr>
                <w:rFonts w:hint="eastAsia"/>
              </w:rPr>
              <w:t>充分考虑施工机械多次进场，</w:t>
            </w:r>
            <w:r>
              <w:t>积极采取夜间施工、加班加人等赶工措施。不得以此申请延长工期和增加费用。</w:t>
            </w:r>
          </w:p>
          <w:p>
            <w:pPr>
              <w:snapToGrid w:val="0"/>
              <w:spacing w:line="276" w:lineRule="auto"/>
              <w:ind w:firstLine="420" w:firstLineChars="200"/>
            </w:pPr>
            <w:r>
              <w:rPr>
                <w:rFonts w:hint="eastAsia"/>
              </w:rPr>
              <w:sym w:font="Wingdings 2" w:char="F052"/>
            </w:r>
            <w:r>
              <w:rPr>
                <w:rFonts w:hint="eastAsia"/>
              </w:rPr>
              <w:t>投标人须认可招标人的工作指令，包括节、假日能正常开展工作的要求。</w:t>
            </w:r>
          </w:p>
          <w:p>
            <w:pPr>
              <w:snapToGrid w:val="0"/>
              <w:spacing w:line="276" w:lineRule="auto"/>
              <w:ind w:firstLine="420" w:firstLineChars="200"/>
              <w:rPr>
                <w:i/>
                <w:iCs/>
                <w:color w:val="FF0000"/>
              </w:rPr>
            </w:pPr>
            <w:r>
              <w:rPr>
                <w:rFonts w:hint="eastAsia"/>
              </w:rPr>
              <w:sym w:font="Wingdings 2" w:char="F052"/>
            </w:r>
            <w:r>
              <w:rPr>
                <w:rFonts w:hint="eastAsia"/>
              </w:rPr>
              <w:t>施工期间应严格落实项目所在地的政府安全文明标准、渣土处置标准、扬尘环保、重污染天气应急响应等标准，做到六个百分百，采取湿法作业，冲洗设备、密目网裸土全覆盖，施工结束每日及时恢复，运输期间，中标人负责运输路线上道路的及时清理、冲洗，确保文明卫生。相关费用均包含在安全文明措施费中。承包人负责渣土处置的一切手续办理，投标时综合考虑，相关费用亦包含在投标总报价中。</w:t>
            </w:r>
          </w:p>
          <w:p>
            <w:pPr>
              <w:snapToGrid w:val="0"/>
              <w:spacing w:line="276" w:lineRule="auto"/>
              <w:ind w:firstLine="420" w:firstLineChars="200"/>
              <w:rPr>
                <w:color w:val="FF0000"/>
              </w:rPr>
            </w:pPr>
            <w:r>
              <w:rPr>
                <w:rFonts w:hint="eastAsia"/>
              </w:rPr>
              <w:sym w:font="Wingdings 2" w:char="F052"/>
            </w:r>
            <w:r>
              <w:rPr>
                <w:rFonts w:hint="eastAsia"/>
              </w:rPr>
              <w:t>现场分区域分段施工、交叉施工、错时施工是必然的，必须服从厂区生产安排、建设方统一指挥，施工降效等费用综合考虑到措施费用中。</w:t>
            </w:r>
          </w:p>
          <w:p>
            <w:pPr>
              <w:snapToGrid w:val="0"/>
              <w:spacing w:line="276" w:lineRule="auto"/>
              <w:ind w:firstLine="420" w:firstLineChars="200"/>
            </w:pPr>
            <w:r>
              <w:rPr>
                <w:rFonts w:hint="eastAsia"/>
              </w:rPr>
              <w:sym w:font="Wingdings 2" w:char="F052"/>
            </w:r>
            <w:r>
              <w:rPr>
                <w:rFonts w:hint="eastAsia"/>
              </w:rPr>
              <w:t>现场施工人员登高、电工、焊工等作业必须持证上岗，并保证证书在有效期内且在专业允许范围内。</w:t>
            </w:r>
          </w:p>
          <w:p>
            <w:pPr>
              <w:snapToGrid w:val="0"/>
              <w:spacing w:line="276" w:lineRule="auto"/>
              <w:ind w:firstLine="422" w:firstLineChars="200"/>
              <w:rPr>
                <w:b/>
                <w:bCs/>
              </w:rPr>
            </w:pPr>
            <w:r>
              <w:rPr>
                <w:rFonts w:hint="eastAsia"/>
                <w:b/>
                <w:bCs/>
              </w:rPr>
              <w:sym w:font="Wingdings 2" w:char="F052"/>
            </w:r>
            <w:r>
              <w:rPr>
                <w:rFonts w:hint="eastAsia"/>
                <w:b/>
                <w:bCs/>
              </w:rPr>
              <w:t>施工过程中产生的废旧有价值物资，运至厂内指定位置交由招标人处理。</w:t>
            </w:r>
          </w:p>
          <w:p>
            <w:pPr>
              <w:numPr>
                <w:ilvl w:val="0"/>
                <w:numId w:val="6"/>
              </w:numPr>
              <w:snapToGrid w:val="0"/>
              <w:spacing w:line="276" w:lineRule="auto"/>
              <w:rPr>
                <w:b/>
                <w:bCs/>
              </w:rPr>
            </w:pPr>
            <w:r>
              <w:rPr>
                <w:rFonts w:hint="eastAsia"/>
                <w:b/>
                <w:bCs/>
              </w:rPr>
              <w:t>商务报价注意内容</w:t>
            </w:r>
          </w:p>
          <w:p>
            <w:pPr>
              <w:pStyle w:val="4"/>
              <w:ind w:left="420"/>
            </w:pPr>
            <w:r>
              <w:rPr>
                <w:rFonts w:hint="eastAsia"/>
                <w:highlight w:val="yellow"/>
              </w:rPr>
              <w:t>最高投标限价（招标控制价）：人民币</w:t>
            </w:r>
            <w:r>
              <w:rPr>
                <w:highlight w:val="yellow"/>
              </w:rPr>
              <w:t>140.92</w:t>
            </w:r>
            <w:r>
              <w:rPr>
                <w:rFonts w:hint="eastAsia"/>
                <w:highlight w:val="yellow"/>
              </w:rPr>
              <w:t>万元（含9</w:t>
            </w:r>
            <w:r>
              <w:rPr>
                <w:highlight w:val="yellow"/>
              </w:rPr>
              <w:t>%</w:t>
            </w:r>
            <w:r>
              <w:rPr>
                <w:rFonts w:hint="eastAsia"/>
                <w:highlight w:val="yellow"/>
              </w:rPr>
              <w:t>增值税），超过投标限价无法投标。</w:t>
            </w:r>
          </w:p>
          <w:p>
            <w:pPr>
              <w:snapToGrid w:val="0"/>
              <w:spacing w:line="276" w:lineRule="auto"/>
              <w:ind w:firstLine="420" w:firstLineChars="200"/>
              <w:rPr>
                <w:b/>
                <w:bCs/>
                <w:color w:val="FF0000"/>
              </w:rPr>
            </w:pPr>
            <w:r>
              <w:rPr>
                <w:rFonts w:hint="eastAsia"/>
              </w:rPr>
              <w:sym w:font="Wingdings 2" w:char="0052"/>
            </w:r>
            <w:r>
              <w:rPr>
                <w:rFonts w:hint="eastAsia"/>
              </w:rPr>
              <w:t>本工程不设暂列金。</w:t>
            </w:r>
          </w:p>
          <w:p>
            <w:pPr>
              <w:snapToGrid w:val="0"/>
              <w:spacing w:line="276" w:lineRule="auto"/>
              <w:ind w:firstLine="420" w:firstLineChars="200"/>
            </w:pPr>
            <w:r>
              <w:rPr>
                <w:rFonts w:hint="eastAsia"/>
              </w:rPr>
              <w:sym w:font="Wingdings 2" w:char="F052"/>
            </w:r>
            <w:r>
              <w:rPr>
                <w:rFonts w:hint="eastAsia"/>
              </w:rPr>
              <w:t>本次招标无甲供材料设备，所有材料设备均包含在投标单位报价范围之内。</w:t>
            </w:r>
          </w:p>
          <w:p>
            <w:pPr>
              <w:numPr>
                <w:ilvl w:val="0"/>
                <w:numId w:val="6"/>
              </w:numPr>
              <w:snapToGrid w:val="0"/>
              <w:spacing w:line="276" w:lineRule="auto"/>
              <w:rPr>
                <w:b/>
                <w:bCs/>
              </w:rPr>
            </w:pPr>
            <w:r>
              <w:rPr>
                <w:rFonts w:hint="eastAsia"/>
                <w:b/>
                <w:bCs/>
              </w:rPr>
              <w:t>合同付款条件</w:t>
            </w:r>
          </w:p>
          <w:p>
            <w:pPr>
              <w:snapToGrid w:val="0"/>
              <w:spacing w:line="276" w:lineRule="auto"/>
              <w:ind w:firstLine="420" w:firstLineChars="200"/>
            </w:pPr>
            <w:r>
              <w:rPr>
                <w:rFonts w:hint="eastAsia"/>
              </w:rPr>
              <w:t>付款方式：半年期商业汇票（包含银行承兑汇票和商业承兑汇票）。</w:t>
            </w:r>
          </w:p>
          <w:p>
            <w:pPr>
              <w:snapToGrid w:val="0"/>
              <w:spacing w:line="276" w:lineRule="auto"/>
              <w:ind w:firstLine="420" w:firstLineChars="200"/>
            </w:pPr>
            <w:bookmarkStart w:id="32" w:name="_Hlk210897141"/>
            <w:r>
              <w:rPr>
                <w:rFonts w:hint="eastAsia"/>
              </w:rPr>
              <w:t>本工程无预付款，工程款支付按月形象进度报表，经监理工程师、发包人审核后于开票挂账一个月后付至工程月形象进度造价的</w:t>
            </w:r>
            <w:r>
              <w:t>75</w:t>
            </w:r>
            <w:r>
              <w:rPr>
                <w:rFonts w:hint="eastAsia"/>
              </w:rPr>
              <w:t>%。累计进度款最高付至合同签约价的</w:t>
            </w:r>
            <w:r>
              <w:t>75</w:t>
            </w:r>
            <w:r>
              <w:rPr>
                <w:rFonts w:hint="eastAsia"/>
              </w:rPr>
              <w:t>%；完成工程竣工资料移交、竣工结算申报且竣工验收合格后付至已完成形象进度产值的</w:t>
            </w:r>
            <w:r>
              <w:t>80</w:t>
            </w:r>
            <w:r>
              <w:rPr>
                <w:rFonts w:hint="eastAsia"/>
              </w:rPr>
              <w:t>%，且最高付至合同签约价</w:t>
            </w:r>
            <w:r>
              <w:t>80</w:t>
            </w:r>
            <w:r>
              <w:rPr>
                <w:rFonts w:hint="eastAsia"/>
              </w:rPr>
              <w:t>%；竣工结算审计完毕且完成内部验收经双方签字认可后付款至工程结算款的9</w:t>
            </w:r>
            <w:r>
              <w:t>7</w:t>
            </w:r>
            <w:r>
              <w:rPr>
                <w:rFonts w:hint="eastAsia"/>
              </w:rPr>
              <w:t>%，结算款的</w:t>
            </w:r>
            <w:r>
              <w:t>3</w:t>
            </w:r>
            <w:r>
              <w:rPr>
                <w:rFonts w:hint="eastAsia"/>
              </w:rPr>
              <w:t>%作为质量保修金，无质量问题自内部验收合格之日起两年后支付。</w:t>
            </w:r>
          </w:p>
          <w:bookmarkEnd w:id="32"/>
          <w:p>
            <w:pPr>
              <w:snapToGrid w:val="0"/>
              <w:spacing w:line="276" w:lineRule="auto"/>
              <w:ind w:firstLine="420" w:firstLineChars="200"/>
            </w:pPr>
            <w:r>
              <w:rPr>
                <w:rFonts w:hint="eastAsia"/>
              </w:rPr>
              <w:t>发包人所有款项的支付均需承包人持当批付款金额一致的符合国家要求的增值税专用发票、收据、授权委托书、经办人身份证明原件及复印件等其他发包人财务制度要求的资料办理。</w:t>
            </w:r>
          </w:p>
          <w:p>
            <w:pPr>
              <w:numPr>
                <w:ilvl w:val="0"/>
                <w:numId w:val="6"/>
              </w:numPr>
              <w:snapToGrid w:val="0"/>
              <w:spacing w:line="276" w:lineRule="auto"/>
              <w:rPr>
                <w:rFonts w:ascii="宋体" w:hAnsi="宋体" w:cs="宋体"/>
                <w:b/>
                <w:bCs/>
                <w:szCs w:val="21"/>
              </w:rPr>
            </w:pPr>
            <w:r>
              <w:rPr>
                <w:rFonts w:hint="eastAsia" w:ascii="宋体" w:hAnsi="宋体" w:cs="宋体"/>
                <w:b/>
                <w:bCs/>
                <w:szCs w:val="21"/>
              </w:rPr>
              <w:t>其他</w:t>
            </w:r>
          </w:p>
          <w:p>
            <w:pPr>
              <w:snapToGrid w:val="0"/>
              <w:spacing w:line="276" w:lineRule="auto"/>
              <w:ind w:firstLine="420" w:firstLineChars="200"/>
            </w:pPr>
            <w:r>
              <w:rPr>
                <w:rFonts w:hint="eastAsia"/>
              </w:rPr>
              <w:sym w:font="Wingdings 2" w:char="F052"/>
            </w:r>
            <w:r>
              <w:t>中标人应严格落实项目所在地的最新农民工工资保证金管理规定，</w:t>
            </w:r>
            <w:r>
              <w:rPr>
                <w:rFonts w:hint="eastAsia"/>
              </w:rPr>
              <w:t>建筑工程项目农民工实名制和工资专用账户管理制度，</w:t>
            </w:r>
            <w:r>
              <w:t>负责按规定及时全额缴纳</w:t>
            </w:r>
            <w:r>
              <w:rPr>
                <w:rFonts w:hint="eastAsia"/>
              </w:rPr>
              <w:t>，并负责将进度款中的人工费及时转账至农民工工资专用账户中，确保账户金额充足。同时杜绝层层分包，转包行为，确保工资及时发放到劳务工人本人手中</w:t>
            </w:r>
            <w:r>
              <w:t>，并负责及时办理工伤保险。否则视为严重违约，除承担违约责任外，对造成的一切后果和责任自行承担。</w:t>
            </w:r>
            <w:r>
              <w:rPr>
                <w:rFonts w:hint="eastAsia"/>
              </w:rPr>
              <w:t>若本项目中标人发生农民工欠薪，产生政府投诉、堵门、阻挠施工等事件的，每发生一起，除妥善及时处理、消除影响外还有承担违约责任，视情节严重情况给予1万-5万元/次考核。</w:t>
            </w:r>
          </w:p>
          <w:p>
            <w:pPr>
              <w:snapToGrid w:val="0"/>
              <w:spacing w:line="276" w:lineRule="auto"/>
              <w:ind w:firstLine="420" w:firstLineChars="200"/>
            </w:pPr>
            <w:r>
              <w:rPr>
                <w:rFonts w:hint="eastAsia"/>
              </w:rPr>
              <w:sym w:font="Wingdings 2" w:char="F052"/>
            </w:r>
            <w:r>
              <w:rPr>
                <w:rFonts w:hint="eastAsia"/>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发包人书面认可即视为有效且承包人亦认可，最终由承包人承担，承担方式：承包人直接向第三方支付或由发包人代为支付，在承包人的竣工结算中对成本增加部分（双方价差）予以扣减。</w:t>
            </w:r>
          </w:p>
          <w:p>
            <w:pPr>
              <w:snapToGrid w:val="0"/>
              <w:spacing w:line="276" w:lineRule="auto"/>
              <w:ind w:firstLine="420" w:firstLineChars="200"/>
            </w:pPr>
            <w:r>
              <w:rPr>
                <w:rFonts w:hint="eastAsia"/>
              </w:rPr>
              <w:sym w:font="Wingdings 2" w:char="F052"/>
            </w:r>
            <w:r>
              <w:rPr>
                <w:rFonts w:hint="eastAsia"/>
              </w:rPr>
              <w:t>项目施工所有（不含甲供材料设备、甲分包部分）试验检测费用（包括但不限于见证取样复试、地基基础检测、主体结构检测、钢结构检测、空气质量检测、弱电检测、外墙保温系统型式检测、防雷检测、消防检测、沉降观测、焊缝检测、配电平台高低压设备的相关试验、各类流量计、能量计、温度压力传感器的校验（项目内部验收完移交时，计量装置必须在有效期内）等）均已综合考虑并包含在承包人投标总价中。根据《建设工程质量检测管理办法》第二十一条及《山东省住房和城乡建设厅关于压实建设单位工程质量首要责任的实施办法》，非建设单位委托的检测机构出具的检测报告不得作为工程质量验收资料。乙购材料设备的见证取样送检及施工专项检测（如焊缝探伤等），由发包人委托具有相应资质的第三方检测单位进行检测。若所发生的检测费用由发包人按检测委托合同支付的，在竣工结算时按实际发生检测总费用予以扣除。若所发生的检测费由发包人委托人直接垫付的，由承包人支付给发包人委托人。</w:t>
            </w:r>
          </w:p>
          <w:p>
            <w:pPr>
              <w:snapToGrid w:val="0"/>
              <w:spacing w:line="276" w:lineRule="auto"/>
              <w:ind w:firstLine="420" w:firstLineChars="200"/>
            </w:pPr>
            <w:r>
              <w:rPr>
                <w:rFonts w:hint="eastAsia"/>
              </w:rPr>
              <w:sym w:font="Wingdings 2" w:char="F052"/>
            </w:r>
            <w:r>
              <w:rPr>
                <w:rFonts w:hint="eastAsia"/>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由发包人在工程款中代扣代缴或者由承包人直接支付。</w:t>
            </w:r>
          </w:p>
          <w:p>
            <w:pPr>
              <w:numPr>
                <w:ilvl w:val="0"/>
                <w:numId w:val="6"/>
              </w:numPr>
              <w:snapToGrid w:val="0"/>
              <w:spacing w:line="276" w:lineRule="auto"/>
              <w:rPr>
                <w:b/>
                <w:bCs/>
              </w:rPr>
            </w:pPr>
            <w:r>
              <w:rPr>
                <w:rFonts w:hint="eastAsia"/>
                <w:b/>
                <w:bCs/>
              </w:rPr>
              <w:t>开标进场注意事项</w:t>
            </w:r>
          </w:p>
          <w:p>
            <w:pPr>
              <w:snapToGrid w:val="0"/>
              <w:spacing w:line="276" w:lineRule="auto"/>
              <w:ind w:firstLine="420" w:firstLineChars="200"/>
              <w:rPr>
                <w:b/>
                <w:bCs/>
              </w:rPr>
            </w:pPr>
            <w:r>
              <w:rPr/>
              <w:sym w:font="Wingdings 2" w:char="0052"/>
            </w:r>
            <w:r>
              <w:t>开标当日，</w:t>
            </w:r>
            <w:r>
              <w:rPr>
                <w:rFonts w:hint="eastAsia"/>
              </w:rPr>
              <w:t>投标单位的授权委托人及投标项目经理、技术标编制人员、商务标编制人员必须到场。且所有到场人员</w:t>
            </w:r>
            <w:r>
              <w:t>必须出具在本单位连续缴纳不低于1年的社保记录和证明，否则不予进入开标现场。</w:t>
            </w:r>
          </w:p>
          <w:p>
            <w:pPr>
              <w:pStyle w:val="4"/>
              <w:ind w:left="420"/>
            </w:pPr>
          </w:p>
          <w:p>
            <w:r>
              <w:rPr>
                <w:rFonts w:hint="eastAsia"/>
                <w:b/>
                <w:bCs/>
              </w:rPr>
              <w:t>特别着重提醒：投标时须提交杜绝挂靠、转包承诺函（详见投标函附录），函必须经公司法务部门/人员签字及法定代表人签字盖公章。</w:t>
            </w:r>
          </w:p>
        </w:tc>
      </w:tr>
    </w:tbl>
    <w:p>
      <w:pPr>
        <w:pStyle w:val="19"/>
        <w:rPr>
          <w:lang w:bidi="en-US"/>
        </w:rPr>
      </w:pPr>
      <w:bookmarkStart w:id="33" w:name="_Toc17817323"/>
      <w:bookmarkStart w:id="34" w:name="_Toc16063893"/>
      <w:bookmarkStart w:id="35" w:name="_Toc28870"/>
    </w:p>
    <w:p>
      <w:pPr>
        <w:pStyle w:val="7"/>
        <w:spacing w:before="0" w:after="0"/>
        <w:jc w:val="center"/>
        <w:rPr>
          <w:sz w:val="30"/>
          <w:szCs w:val="30"/>
        </w:rPr>
      </w:pPr>
      <w:bookmarkStart w:id="36" w:name="_Toc211261901"/>
      <w:r>
        <w:rPr>
          <w:sz w:val="30"/>
          <w:szCs w:val="30"/>
        </w:rPr>
        <w:t>1. 总则</w:t>
      </w:r>
      <w:bookmarkEnd w:id="33"/>
      <w:bookmarkEnd w:id="34"/>
      <w:bookmarkEnd w:id="35"/>
      <w:bookmarkEnd w:id="36"/>
    </w:p>
    <w:p>
      <w:pPr>
        <w:pStyle w:val="62"/>
        <w:spacing w:before="0" w:after="0"/>
        <w:rPr>
          <w:rStyle w:val="58"/>
          <w:rFonts w:ascii="宋体" w:hAnsi="宋体"/>
        </w:rPr>
      </w:pPr>
      <w:r>
        <w:rPr>
          <w:rStyle w:val="58"/>
          <w:rFonts w:ascii="宋体" w:hAnsi="宋体"/>
        </w:rPr>
        <w:t>1.1 项目概况</w:t>
      </w:r>
    </w:p>
    <w:p>
      <w:pPr>
        <w:spacing w:line="360" w:lineRule="auto"/>
        <w:ind w:firstLine="420" w:firstLineChars="200"/>
        <w:rPr>
          <w:rStyle w:val="58"/>
          <w:rFonts w:ascii="宋体" w:hAnsi="宋体"/>
        </w:rPr>
      </w:pPr>
      <w:r>
        <w:rPr>
          <w:rStyle w:val="58"/>
          <w:rFonts w:ascii="宋体" w:hAnsi="宋体"/>
        </w:rPr>
        <w:t>1.1.1根据《中华人民共和国招标投标法》等有关法律、法规和规章的规定，本招标项目已具备招标条件，现对本项目施工进行招标。</w:t>
      </w:r>
    </w:p>
    <w:p>
      <w:pPr>
        <w:spacing w:line="360" w:lineRule="auto"/>
        <w:ind w:firstLine="420" w:firstLineChars="200"/>
        <w:rPr>
          <w:rStyle w:val="58"/>
          <w:rFonts w:ascii="宋体" w:hAnsi="宋体"/>
        </w:rPr>
      </w:pPr>
      <w:r>
        <w:rPr>
          <w:rStyle w:val="58"/>
          <w:rFonts w:ascii="宋体" w:hAnsi="宋体"/>
        </w:rPr>
        <w:t>1.1.2 本招标项目招标人：见投标人须知前附表。</w:t>
      </w:r>
    </w:p>
    <w:p>
      <w:pPr>
        <w:spacing w:line="360" w:lineRule="auto"/>
        <w:ind w:firstLine="420" w:firstLineChars="200"/>
        <w:rPr>
          <w:rStyle w:val="58"/>
          <w:rFonts w:ascii="宋体" w:hAnsi="宋体"/>
        </w:rPr>
      </w:pPr>
      <w:r>
        <w:rPr>
          <w:rStyle w:val="58"/>
          <w:rFonts w:ascii="宋体" w:hAnsi="宋体"/>
        </w:rPr>
        <w:t>1.1.3 本项目招标代理机构：见投标人须知前附表。</w:t>
      </w:r>
    </w:p>
    <w:p>
      <w:pPr>
        <w:spacing w:line="360" w:lineRule="auto"/>
        <w:ind w:firstLine="420" w:firstLineChars="200"/>
        <w:rPr>
          <w:rStyle w:val="58"/>
          <w:rFonts w:ascii="宋体" w:hAnsi="宋体"/>
        </w:rPr>
      </w:pPr>
      <w:r>
        <w:rPr>
          <w:rStyle w:val="58"/>
          <w:rFonts w:ascii="宋体" w:hAnsi="宋体"/>
        </w:rPr>
        <w:t>1.1.4 本招标项目名称：见投标人须知前附表。</w:t>
      </w:r>
    </w:p>
    <w:p>
      <w:pPr>
        <w:spacing w:line="360" w:lineRule="auto"/>
        <w:ind w:firstLine="420" w:firstLineChars="200"/>
        <w:rPr>
          <w:rStyle w:val="58"/>
          <w:rFonts w:ascii="宋体" w:hAnsi="宋体"/>
        </w:rPr>
      </w:pPr>
      <w:r>
        <w:rPr>
          <w:rStyle w:val="58"/>
          <w:rFonts w:ascii="宋体" w:hAnsi="宋体"/>
        </w:rPr>
        <w:t>1.1.5 本招标项目建设规模：见投标人须知前附表。</w:t>
      </w:r>
    </w:p>
    <w:p>
      <w:pPr>
        <w:spacing w:line="360" w:lineRule="auto"/>
        <w:ind w:firstLine="420" w:firstLineChars="200"/>
        <w:rPr>
          <w:rStyle w:val="58"/>
          <w:rFonts w:ascii="宋体" w:hAnsi="宋体"/>
        </w:rPr>
      </w:pPr>
      <w:r>
        <w:rPr>
          <w:rStyle w:val="58"/>
          <w:rFonts w:ascii="宋体" w:hAnsi="宋体"/>
        </w:rPr>
        <w:t>1.1.6 本项目建设地点：见投标人须知前附表。</w:t>
      </w:r>
    </w:p>
    <w:p>
      <w:pPr>
        <w:pStyle w:val="62"/>
        <w:spacing w:before="0" w:after="0"/>
        <w:rPr>
          <w:rStyle w:val="58"/>
          <w:rFonts w:ascii="宋体" w:hAnsi="宋体"/>
          <w:sz w:val="24"/>
        </w:rPr>
      </w:pPr>
      <w:r>
        <w:rPr>
          <w:rStyle w:val="58"/>
          <w:rFonts w:ascii="宋体" w:hAnsi="宋体"/>
          <w:sz w:val="24"/>
        </w:rPr>
        <w:t>1.2 资金来源和落实情况</w:t>
      </w:r>
    </w:p>
    <w:p>
      <w:pPr>
        <w:spacing w:line="360" w:lineRule="auto"/>
        <w:ind w:firstLine="420" w:firstLineChars="200"/>
        <w:rPr>
          <w:rStyle w:val="58"/>
          <w:rFonts w:ascii="宋体" w:hAnsi="宋体"/>
        </w:rPr>
      </w:pPr>
      <w:r>
        <w:rPr>
          <w:rStyle w:val="58"/>
          <w:rFonts w:ascii="宋体" w:hAnsi="宋体"/>
        </w:rPr>
        <w:t>1.2.1 本招标项目的资金来源：见投标人须知前附表。</w:t>
      </w:r>
    </w:p>
    <w:p>
      <w:pPr>
        <w:spacing w:line="360" w:lineRule="auto"/>
        <w:ind w:firstLine="420" w:firstLineChars="200"/>
        <w:rPr>
          <w:rStyle w:val="58"/>
          <w:rFonts w:ascii="宋体" w:hAnsi="宋体"/>
        </w:rPr>
      </w:pPr>
      <w:r>
        <w:rPr>
          <w:rStyle w:val="58"/>
          <w:rFonts w:ascii="宋体" w:hAnsi="宋体"/>
        </w:rPr>
        <w:t>1.2.2 本招标项目的出资比例：见投标人须知前附表。</w:t>
      </w:r>
    </w:p>
    <w:p>
      <w:pPr>
        <w:spacing w:line="360" w:lineRule="auto"/>
        <w:ind w:firstLine="420" w:firstLineChars="200"/>
        <w:rPr>
          <w:rStyle w:val="58"/>
          <w:rFonts w:ascii="宋体" w:hAnsi="宋体"/>
        </w:rPr>
      </w:pPr>
      <w:r>
        <w:rPr>
          <w:rStyle w:val="58"/>
          <w:rFonts w:ascii="宋体" w:hAnsi="宋体"/>
        </w:rPr>
        <w:t>1.2.3 本招标项目的资金落实情况：见投标人须知前附表。</w:t>
      </w:r>
    </w:p>
    <w:p>
      <w:pPr>
        <w:pStyle w:val="62"/>
        <w:spacing w:before="0" w:after="0"/>
        <w:rPr>
          <w:rStyle w:val="58"/>
          <w:rFonts w:ascii="宋体" w:hAnsi="宋体"/>
          <w:sz w:val="24"/>
        </w:rPr>
      </w:pPr>
      <w:r>
        <w:rPr>
          <w:rStyle w:val="58"/>
          <w:rFonts w:ascii="宋体" w:hAnsi="宋体"/>
          <w:sz w:val="24"/>
        </w:rPr>
        <w:t>1.3 招标范围、计划工期和质量要求</w:t>
      </w:r>
    </w:p>
    <w:p>
      <w:pPr>
        <w:spacing w:line="360" w:lineRule="auto"/>
        <w:ind w:firstLine="420" w:firstLineChars="200"/>
        <w:rPr>
          <w:rStyle w:val="58"/>
          <w:rFonts w:ascii="宋体" w:hAnsi="宋体"/>
        </w:rPr>
      </w:pPr>
      <w:r>
        <w:rPr>
          <w:rStyle w:val="58"/>
          <w:rFonts w:ascii="宋体" w:hAnsi="宋体"/>
        </w:rPr>
        <w:t>1.3.1 本次招标范围：见投标人须知前附表。</w:t>
      </w:r>
    </w:p>
    <w:p>
      <w:pPr>
        <w:spacing w:line="360" w:lineRule="auto"/>
        <w:ind w:firstLine="420" w:firstLineChars="200"/>
        <w:rPr>
          <w:rStyle w:val="58"/>
          <w:rFonts w:ascii="宋体" w:hAnsi="宋体"/>
        </w:rPr>
      </w:pPr>
      <w:r>
        <w:rPr>
          <w:rStyle w:val="58"/>
          <w:rFonts w:ascii="宋体" w:hAnsi="宋体"/>
        </w:rPr>
        <w:t>1.3.2 本项目的计划工期：见投标人须知前附表。</w:t>
      </w:r>
    </w:p>
    <w:p>
      <w:pPr>
        <w:spacing w:line="360" w:lineRule="auto"/>
        <w:ind w:firstLine="420" w:firstLineChars="200"/>
        <w:rPr>
          <w:rStyle w:val="58"/>
          <w:rFonts w:ascii="宋体" w:hAnsi="宋体"/>
        </w:rPr>
      </w:pPr>
      <w:r>
        <w:rPr>
          <w:rStyle w:val="58"/>
          <w:rFonts w:ascii="宋体" w:hAnsi="宋体"/>
        </w:rPr>
        <w:t>1.3.3 本项目的质量要求：见投标人须知前附表。</w:t>
      </w:r>
    </w:p>
    <w:p>
      <w:pPr>
        <w:pStyle w:val="62"/>
        <w:spacing w:before="0" w:after="0"/>
        <w:rPr>
          <w:rStyle w:val="58"/>
          <w:rFonts w:ascii="宋体" w:hAnsi="宋体"/>
          <w:sz w:val="24"/>
        </w:rPr>
      </w:pPr>
      <w:r>
        <w:rPr>
          <w:rStyle w:val="58"/>
          <w:rFonts w:ascii="宋体" w:hAnsi="宋体"/>
          <w:sz w:val="24"/>
        </w:rPr>
        <w:t>1.4 投标人资格要求</w:t>
      </w:r>
    </w:p>
    <w:p>
      <w:pPr>
        <w:spacing w:line="360" w:lineRule="auto"/>
        <w:ind w:firstLine="420" w:firstLineChars="200"/>
        <w:rPr>
          <w:rStyle w:val="58"/>
          <w:rFonts w:ascii="宋体" w:hAnsi="宋体"/>
        </w:rPr>
      </w:pPr>
      <w:r>
        <w:rPr>
          <w:rStyle w:val="58"/>
          <w:rFonts w:ascii="宋体" w:hAnsi="宋体"/>
        </w:rPr>
        <w:t>1.4.1投标人应具备承担本项目施工的资质条件、能力和信誉。</w:t>
      </w:r>
    </w:p>
    <w:p>
      <w:pPr>
        <w:spacing w:line="360" w:lineRule="auto"/>
        <w:ind w:firstLine="718" w:firstLineChars="342"/>
        <w:rPr>
          <w:rStyle w:val="58"/>
          <w:rFonts w:ascii="宋体" w:hAnsi="宋体"/>
        </w:rPr>
      </w:pPr>
      <w:r>
        <w:rPr>
          <w:rStyle w:val="58"/>
          <w:rFonts w:ascii="宋体" w:hAnsi="宋体"/>
        </w:rPr>
        <w:t>（1）资质条件：见投标人须知前附表；</w:t>
      </w:r>
    </w:p>
    <w:p>
      <w:pPr>
        <w:spacing w:line="360" w:lineRule="auto"/>
        <w:ind w:firstLine="718" w:firstLineChars="342"/>
        <w:rPr>
          <w:rStyle w:val="58"/>
          <w:rFonts w:ascii="宋体" w:hAnsi="宋体"/>
        </w:rPr>
      </w:pPr>
      <w:r>
        <w:rPr>
          <w:rStyle w:val="58"/>
          <w:rFonts w:ascii="宋体" w:hAnsi="宋体"/>
        </w:rPr>
        <w:t>（2）财务要求：见投标人须知前附表；</w:t>
      </w:r>
    </w:p>
    <w:p>
      <w:pPr>
        <w:spacing w:line="360" w:lineRule="auto"/>
        <w:ind w:firstLine="718" w:firstLineChars="342"/>
        <w:rPr>
          <w:rStyle w:val="58"/>
          <w:rFonts w:ascii="宋体" w:hAnsi="宋体"/>
        </w:rPr>
      </w:pPr>
      <w:r>
        <w:rPr>
          <w:rStyle w:val="58"/>
          <w:rFonts w:ascii="宋体" w:hAnsi="宋体"/>
        </w:rPr>
        <w:t>（3）信誉要求：见投标人须知前附表；</w:t>
      </w:r>
    </w:p>
    <w:p>
      <w:pPr>
        <w:spacing w:line="360" w:lineRule="auto"/>
        <w:ind w:firstLine="735" w:firstLineChars="350"/>
        <w:rPr>
          <w:rStyle w:val="58"/>
          <w:rFonts w:ascii="宋体" w:hAnsi="宋体"/>
        </w:rPr>
      </w:pPr>
      <w:r>
        <w:rPr>
          <w:rStyle w:val="58"/>
          <w:rFonts w:ascii="宋体" w:hAnsi="宋体"/>
        </w:rPr>
        <w:t>（4）项目经理资格：见投标人须知前附表；</w:t>
      </w:r>
    </w:p>
    <w:p>
      <w:pPr>
        <w:spacing w:line="360" w:lineRule="auto"/>
        <w:ind w:firstLine="735" w:firstLineChars="350"/>
        <w:rPr>
          <w:rStyle w:val="58"/>
          <w:rFonts w:ascii="宋体" w:hAnsi="宋体"/>
        </w:rPr>
      </w:pPr>
      <w:r>
        <w:rPr>
          <w:rStyle w:val="58"/>
          <w:rFonts w:ascii="宋体" w:hAnsi="宋体"/>
        </w:rPr>
        <w:t>（5）其他要求：见投标人须知前附表。</w:t>
      </w:r>
    </w:p>
    <w:p>
      <w:pPr>
        <w:spacing w:line="360" w:lineRule="auto"/>
        <w:rPr>
          <w:rStyle w:val="58"/>
          <w:rFonts w:ascii="宋体" w:hAnsi="宋体"/>
        </w:rPr>
      </w:pPr>
      <w:r>
        <w:rPr>
          <w:rStyle w:val="58"/>
          <w:rFonts w:ascii="宋体" w:hAnsi="宋体"/>
        </w:rPr>
        <w:t xml:space="preserve">    1.4.2 本工程</w:t>
      </w:r>
      <w:r>
        <w:rPr>
          <w:rStyle w:val="58"/>
          <w:rFonts w:hint="eastAsia" w:ascii="宋体" w:hAnsi="宋体"/>
          <w:u w:val="single"/>
        </w:rPr>
        <w:t>不接受</w:t>
      </w:r>
      <w:r>
        <w:rPr>
          <w:rStyle w:val="58"/>
          <w:rFonts w:ascii="宋体" w:hAnsi="宋体"/>
        </w:rPr>
        <w:t>联合体投标；</w:t>
      </w:r>
    </w:p>
    <w:p>
      <w:pPr>
        <w:spacing w:line="360" w:lineRule="auto"/>
        <w:ind w:firstLine="420" w:firstLineChars="200"/>
        <w:rPr>
          <w:rStyle w:val="58"/>
          <w:rFonts w:ascii="宋体" w:hAnsi="宋体"/>
        </w:rPr>
      </w:pPr>
      <w:r>
        <w:rPr>
          <w:rStyle w:val="58"/>
          <w:rFonts w:ascii="宋体" w:hAnsi="宋体"/>
        </w:rPr>
        <w:t>1.4.3 投标人不得存在下列情形之一：</w:t>
      </w:r>
    </w:p>
    <w:p>
      <w:pPr>
        <w:spacing w:line="360" w:lineRule="auto"/>
        <w:ind w:firstLine="718" w:firstLineChars="342"/>
        <w:rPr>
          <w:rStyle w:val="58"/>
          <w:rFonts w:ascii="宋体" w:hAnsi="宋体"/>
        </w:rPr>
      </w:pPr>
      <w:r>
        <w:rPr>
          <w:rStyle w:val="58"/>
          <w:rFonts w:ascii="宋体" w:hAnsi="宋体"/>
        </w:rPr>
        <w:t xml:space="preserve">（1）为招标人不具有独立法人资格的附属机构（单位）； </w:t>
      </w:r>
    </w:p>
    <w:p>
      <w:pPr>
        <w:spacing w:line="360" w:lineRule="auto"/>
        <w:ind w:firstLine="718" w:firstLineChars="342"/>
        <w:rPr>
          <w:rStyle w:val="58"/>
          <w:rFonts w:ascii="宋体" w:hAnsi="宋体"/>
        </w:rPr>
      </w:pPr>
      <w:r>
        <w:rPr>
          <w:rStyle w:val="58"/>
          <w:rFonts w:ascii="宋体" w:hAnsi="宋体"/>
        </w:rPr>
        <w:t xml:space="preserve">（2）为本项目前期准备提供设计或咨询服务的，但设计施工总承包的除外； </w:t>
      </w:r>
    </w:p>
    <w:p>
      <w:pPr>
        <w:spacing w:line="360" w:lineRule="auto"/>
        <w:ind w:firstLine="718" w:firstLineChars="342"/>
        <w:rPr>
          <w:rStyle w:val="58"/>
          <w:rFonts w:ascii="宋体" w:hAnsi="宋体"/>
        </w:rPr>
      </w:pPr>
      <w:r>
        <w:rPr>
          <w:rStyle w:val="58"/>
          <w:rFonts w:ascii="宋体" w:hAnsi="宋体"/>
        </w:rPr>
        <w:t>（3）为本项目的监理人；</w:t>
      </w:r>
    </w:p>
    <w:p>
      <w:pPr>
        <w:spacing w:line="360" w:lineRule="auto"/>
        <w:ind w:firstLine="718" w:firstLineChars="342"/>
        <w:rPr>
          <w:rStyle w:val="58"/>
          <w:rFonts w:ascii="宋体" w:hAnsi="宋体"/>
        </w:rPr>
      </w:pPr>
      <w:r>
        <w:rPr>
          <w:rStyle w:val="58"/>
          <w:rFonts w:ascii="宋体" w:hAnsi="宋体"/>
        </w:rPr>
        <w:t>（4）为本项目的代建人；</w:t>
      </w:r>
    </w:p>
    <w:p>
      <w:pPr>
        <w:spacing w:line="360" w:lineRule="auto"/>
        <w:ind w:firstLine="718" w:firstLineChars="342"/>
        <w:rPr>
          <w:rStyle w:val="58"/>
          <w:rFonts w:ascii="宋体" w:hAnsi="宋体"/>
        </w:rPr>
      </w:pPr>
      <w:r>
        <w:rPr>
          <w:rStyle w:val="58"/>
          <w:rFonts w:ascii="宋体" w:hAnsi="宋体"/>
        </w:rPr>
        <w:t xml:space="preserve">（5）为本项目提供招标代理服务的； </w:t>
      </w:r>
    </w:p>
    <w:p>
      <w:pPr>
        <w:spacing w:line="360" w:lineRule="auto"/>
        <w:ind w:firstLine="718" w:firstLineChars="342"/>
        <w:rPr>
          <w:rStyle w:val="58"/>
          <w:rFonts w:ascii="宋体" w:hAnsi="宋体"/>
        </w:rPr>
      </w:pPr>
      <w:r>
        <w:rPr>
          <w:rStyle w:val="58"/>
          <w:rFonts w:ascii="宋体" w:hAnsi="宋体"/>
        </w:rPr>
        <w:t>（6）与本项目的监理人或代建人或招标代理机构同为一个法定代表人的；</w:t>
      </w:r>
    </w:p>
    <w:p>
      <w:pPr>
        <w:spacing w:line="360" w:lineRule="auto"/>
        <w:ind w:firstLine="718" w:firstLineChars="342"/>
        <w:rPr>
          <w:rStyle w:val="58"/>
          <w:rFonts w:ascii="宋体" w:hAnsi="宋体"/>
        </w:rPr>
      </w:pPr>
      <w:r>
        <w:rPr>
          <w:rStyle w:val="58"/>
          <w:rFonts w:ascii="宋体" w:hAnsi="宋体"/>
        </w:rPr>
        <w:t>（7）与本项目的监理人或代建人或招标代理机构相互控股或参股的；</w:t>
      </w:r>
    </w:p>
    <w:p>
      <w:pPr>
        <w:spacing w:line="360" w:lineRule="auto"/>
        <w:ind w:firstLine="718" w:firstLineChars="342"/>
        <w:rPr>
          <w:rStyle w:val="58"/>
          <w:rFonts w:ascii="宋体" w:hAnsi="宋体"/>
        </w:rPr>
      </w:pPr>
      <w:r>
        <w:rPr>
          <w:rStyle w:val="58"/>
          <w:rFonts w:ascii="宋体" w:hAnsi="宋体"/>
        </w:rPr>
        <w:t>（8）与本项目的监理人或代建人或招标代理机构相互任职或工作的；</w:t>
      </w:r>
    </w:p>
    <w:p>
      <w:pPr>
        <w:spacing w:line="360" w:lineRule="auto"/>
        <w:ind w:firstLine="718" w:firstLineChars="342"/>
        <w:rPr>
          <w:rStyle w:val="58"/>
          <w:rFonts w:ascii="宋体" w:hAnsi="宋体"/>
        </w:rPr>
      </w:pPr>
      <w:r>
        <w:rPr>
          <w:rStyle w:val="58"/>
          <w:rFonts w:ascii="宋体" w:hAnsi="宋体"/>
        </w:rPr>
        <w:t xml:space="preserve">（9）被责令停业的； </w:t>
      </w:r>
    </w:p>
    <w:p>
      <w:pPr>
        <w:spacing w:line="360" w:lineRule="auto"/>
        <w:ind w:firstLine="718" w:firstLineChars="342"/>
        <w:rPr>
          <w:rStyle w:val="58"/>
          <w:rFonts w:ascii="宋体" w:hAnsi="宋体"/>
        </w:rPr>
      </w:pPr>
      <w:r>
        <w:rPr>
          <w:rStyle w:val="58"/>
          <w:rFonts w:ascii="宋体" w:hAnsi="宋体"/>
        </w:rPr>
        <w:t xml:space="preserve">（10）被暂停或取消投标资格的； </w:t>
      </w:r>
    </w:p>
    <w:p>
      <w:pPr>
        <w:spacing w:line="360" w:lineRule="auto"/>
        <w:ind w:firstLine="718" w:firstLineChars="342"/>
        <w:rPr>
          <w:rStyle w:val="58"/>
          <w:rFonts w:ascii="宋体" w:hAnsi="宋体"/>
        </w:rPr>
      </w:pPr>
      <w:r>
        <w:rPr>
          <w:rStyle w:val="58"/>
          <w:rFonts w:ascii="宋体" w:hAnsi="宋体"/>
        </w:rPr>
        <w:t>（11）财产被接管或冻结的；</w:t>
      </w:r>
    </w:p>
    <w:p>
      <w:pPr>
        <w:spacing w:line="360" w:lineRule="auto"/>
        <w:ind w:firstLine="718" w:firstLineChars="342"/>
        <w:rPr>
          <w:rStyle w:val="58"/>
          <w:rFonts w:ascii="宋体" w:hAnsi="宋体"/>
        </w:rPr>
      </w:pPr>
      <w:r>
        <w:rPr>
          <w:rStyle w:val="58"/>
          <w:rFonts w:ascii="宋体" w:hAnsi="宋体"/>
        </w:rPr>
        <w:t>（12）在最近三年内有骗取中标或严重违约或重大工程质量问题的。</w:t>
      </w:r>
    </w:p>
    <w:p>
      <w:pPr>
        <w:pStyle w:val="62"/>
        <w:spacing w:before="0" w:after="0"/>
        <w:rPr>
          <w:rStyle w:val="58"/>
          <w:rFonts w:ascii="宋体" w:hAnsi="宋体"/>
          <w:sz w:val="24"/>
        </w:rPr>
      </w:pPr>
      <w:r>
        <w:rPr>
          <w:rStyle w:val="58"/>
          <w:rFonts w:ascii="宋体" w:hAnsi="宋体"/>
          <w:sz w:val="24"/>
        </w:rPr>
        <w:t>1.5 费用承担</w:t>
      </w:r>
    </w:p>
    <w:p>
      <w:pPr>
        <w:spacing w:line="360" w:lineRule="auto"/>
        <w:ind w:firstLine="420" w:firstLineChars="200"/>
        <w:rPr>
          <w:rStyle w:val="58"/>
          <w:rFonts w:ascii="宋体" w:hAnsi="宋体"/>
        </w:rPr>
      </w:pPr>
      <w:r>
        <w:rPr>
          <w:rStyle w:val="58"/>
          <w:rFonts w:ascii="宋体" w:hAnsi="宋体"/>
        </w:rPr>
        <w:t>投标人准备和参加投标活动发生的费用自理。招标代理费由中标单位支付。</w:t>
      </w:r>
    </w:p>
    <w:p>
      <w:pPr>
        <w:pStyle w:val="62"/>
        <w:spacing w:before="0" w:after="0"/>
        <w:rPr>
          <w:rStyle w:val="58"/>
          <w:rFonts w:ascii="宋体" w:hAnsi="宋体"/>
          <w:sz w:val="24"/>
        </w:rPr>
      </w:pPr>
      <w:r>
        <w:rPr>
          <w:rStyle w:val="58"/>
          <w:rFonts w:ascii="宋体" w:hAnsi="宋体"/>
          <w:sz w:val="24"/>
        </w:rPr>
        <w:t>1.6 保密</w:t>
      </w:r>
    </w:p>
    <w:p>
      <w:pPr>
        <w:spacing w:line="360" w:lineRule="auto"/>
        <w:ind w:firstLine="420" w:firstLineChars="200"/>
        <w:rPr>
          <w:rStyle w:val="58"/>
          <w:rFonts w:ascii="宋体" w:hAnsi="宋体"/>
        </w:rPr>
      </w:pPr>
      <w:r>
        <w:rPr>
          <w:rStyle w:val="58"/>
          <w:rFonts w:ascii="宋体" w:hAnsi="宋体"/>
        </w:rPr>
        <w:t xml:space="preserve">参与招标投标活动的各方应对招标文件和投标文件中的商业和技术等秘密保密，违者应对由此造成的后果承担法律责任。 </w:t>
      </w:r>
    </w:p>
    <w:p>
      <w:pPr>
        <w:pStyle w:val="62"/>
        <w:spacing w:before="0" w:after="0"/>
        <w:rPr>
          <w:rStyle w:val="58"/>
          <w:rFonts w:ascii="宋体" w:hAnsi="宋体"/>
          <w:sz w:val="24"/>
        </w:rPr>
      </w:pPr>
      <w:r>
        <w:rPr>
          <w:rStyle w:val="58"/>
          <w:rFonts w:ascii="宋体" w:hAnsi="宋体"/>
          <w:sz w:val="24"/>
        </w:rPr>
        <w:t>1.7 语言文字</w:t>
      </w:r>
    </w:p>
    <w:p>
      <w:pPr>
        <w:spacing w:line="360" w:lineRule="auto"/>
        <w:ind w:firstLine="420" w:firstLineChars="200"/>
        <w:rPr>
          <w:rStyle w:val="58"/>
          <w:rFonts w:ascii="宋体" w:hAnsi="宋体"/>
        </w:rPr>
      </w:pPr>
      <w:r>
        <w:rPr>
          <w:rStyle w:val="58"/>
          <w:rFonts w:ascii="宋体" w:hAnsi="宋体"/>
        </w:rPr>
        <w:t>除专用术语外，与招标投标有关的语言均使用中文。必要时专用术语应附有中文注释。</w:t>
      </w:r>
    </w:p>
    <w:p>
      <w:pPr>
        <w:pStyle w:val="62"/>
        <w:spacing w:before="0" w:after="0"/>
        <w:rPr>
          <w:rStyle w:val="58"/>
          <w:rFonts w:ascii="宋体" w:hAnsi="宋体"/>
          <w:sz w:val="24"/>
        </w:rPr>
      </w:pPr>
      <w:r>
        <w:rPr>
          <w:rStyle w:val="58"/>
          <w:rFonts w:ascii="宋体" w:hAnsi="宋体"/>
          <w:sz w:val="24"/>
        </w:rPr>
        <w:t>1.8 计量单位</w:t>
      </w:r>
    </w:p>
    <w:p>
      <w:pPr>
        <w:spacing w:line="360" w:lineRule="auto"/>
        <w:ind w:firstLine="420" w:firstLineChars="200"/>
        <w:rPr>
          <w:rStyle w:val="58"/>
          <w:rFonts w:ascii="宋体" w:hAnsi="宋体"/>
        </w:rPr>
      </w:pPr>
      <w:r>
        <w:rPr>
          <w:rStyle w:val="58"/>
          <w:rFonts w:ascii="宋体" w:hAnsi="宋体"/>
        </w:rPr>
        <w:t>所有计量均采用中华人民共和国法定计量单位。</w:t>
      </w:r>
    </w:p>
    <w:p>
      <w:pPr>
        <w:pStyle w:val="62"/>
        <w:spacing w:before="0" w:after="0"/>
        <w:rPr>
          <w:rStyle w:val="58"/>
          <w:rFonts w:ascii="宋体" w:hAnsi="宋体"/>
          <w:sz w:val="24"/>
        </w:rPr>
      </w:pPr>
      <w:r>
        <w:rPr>
          <w:rStyle w:val="58"/>
          <w:rFonts w:ascii="宋体" w:hAnsi="宋体"/>
          <w:sz w:val="24"/>
        </w:rPr>
        <w:t>1.9 踏勘现场</w:t>
      </w:r>
    </w:p>
    <w:p>
      <w:pPr>
        <w:spacing w:line="360" w:lineRule="auto"/>
        <w:ind w:firstLine="420" w:firstLineChars="200"/>
        <w:rPr>
          <w:rStyle w:val="58"/>
          <w:rFonts w:ascii="宋体" w:hAnsi="宋体"/>
        </w:rPr>
      </w:pPr>
      <w:r>
        <w:rPr>
          <w:rStyle w:val="58"/>
          <w:rFonts w:ascii="宋体" w:hAnsi="宋体"/>
        </w:rPr>
        <w:t xml:space="preserve">1.9.1 投标人须知前附表规定组织踏勘现场的，招标人按投标人须知前附表规定的时间、地点组织投标人踏勘项目现场。 </w:t>
      </w:r>
    </w:p>
    <w:p>
      <w:pPr>
        <w:spacing w:line="360" w:lineRule="auto"/>
        <w:ind w:firstLine="420" w:firstLineChars="200"/>
        <w:rPr>
          <w:rStyle w:val="58"/>
          <w:rFonts w:ascii="宋体" w:hAnsi="宋体"/>
        </w:rPr>
      </w:pPr>
      <w:r>
        <w:rPr>
          <w:rStyle w:val="58"/>
          <w:rFonts w:ascii="宋体" w:hAnsi="宋体"/>
        </w:rPr>
        <w:t>1.9.2 投标人踏勘现场发生的费用自理。</w:t>
      </w:r>
    </w:p>
    <w:p>
      <w:pPr>
        <w:spacing w:line="360" w:lineRule="auto"/>
        <w:ind w:firstLine="420" w:firstLineChars="200"/>
        <w:rPr>
          <w:rStyle w:val="58"/>
          <w:rFonts w:ascii="宋体" w:hAnsi="宋体"/>
        </w:rPr>
      </w:pPr>
      <w:r>
        <w:rPr>
          <w:rStyle w:val="58"/>
          <w:rFonts w:ascii="宋体" w:hAnsi="宋体"/>
        </w:rPr>
        <w:t>1.9.3 除招标人的原因外，投标人自行负责在踏勘现场中所发生的人员伤亡和财产损失。</w:t>
      </w:r>
    </w:p>
    <w:p>
      <w:pPr>
        <w:spacing w:line="360" w:lineRule="auto"/>
        <w:ind w:firstLine="420" w:firstLineChars="200"/>
        <w:rPr>
          <w:rStyle w:val="58"/>
          <w:rFonts w:ascii="宋体" w:hAnsi="宋体"/>
        </w:rPr>
      </w:pPr>
      <w:r>
        <w:rPr>
          <w:rStyle w:val="58"/>
          <w:rFonts w:ascii="宋体" w:hAnsi="宋体"/>
        </w:rPr>
        <w:t>1.9.4 招标人在踏勘现场中介绍的工程场地和相关的周边环境情况，供投标人在编制投标文件时参考，招标人不对投标人据此作出的判断和决策负责。</w:t>
      </w:r>
    </w:p>
    <w:p>
      <w:pPr>
        <w:pStyle w:val="62"/>
        <w:spacing w:before="0" w:after="0"/>
        <w:rPr>
          <w:rStyle w:val="58"/>
          <w:rFonts w:ascii="宋体" w:hAnsi="宋体"/>
          <w:sz w:val="24"/>
        </w:rPr>
      </w:pPr>
      <w:r>
        <w:rPr>
          <w:rStyle w:val="58"/>
          <w:rFonts w:ascii="宋体" w:hAnsi="宋体"/>
          <w:sz w:val="24"/>
        </w:rPr>
        <w:t>1.10 投标预备会</w:t>
      </w:r>
    </w:p>
    <w:p>
      <w:pPr>
        <w:spacing w:line="360" w:lineRule="auto"/>
        <w:ind w:firstLine="567" w:firstLineChars="270"/>
        <w:rPr>
          <w:rStyle w:val="58"/>
          <w:rFonts w:ascii="宋体" w:hAnsi="宋体"/>
        </w:rPr>
      </w:pPr>
      <w:r>
        <w:rPr>
          <w:rStyle w:val="58"/>
          <w:rFonts w:ascii="宋体" w:hAnsi="宋体"/>
        </w:rPr>
        <w:t>按投标人须知前附表规定不召开投标预备会。</w:t>
      </w:r>
    </w:p>
    <w:p>
      <w:pPr>
        <w:pStyle w:val="62"/>
        <w:spacing w:before="0" w:after="0"/>
        <w:rPr>
          <w:rStyle w:val="58"/>
          <w:rFonts w:ascii="宋体" w:hAnsi="宋体"/>
          <w:sz w:val="24"/>
        </w:rPr>
      </w:pPr>
      <w:r>
        <w:rPr>
          <w:rStyle w:val="58"/>
          <w:rFonts w:ascii="宋体" w:hAnsi="宋体"/>
          <w:sz w:val="24"/>
        </w:rPr>
        <w:t>1.11 工程分包</w:t>
      </w:r>
    </w:p>
    <w:p>
      <w:pPr>
        <w:spacing w:line="360" w:lineRule="auto"/>
        <w:ind w:firstLine="567" w:firstLineChars="270"/>
        <w:rPr>
          <w:rStyle w:val="58"/>
          <w:rFonts w:ascii="宋体" w:hAnsi="宋体"/>
        </w:rPr>
      </w:pPr>
      <w:r>
        <w:rPr>
          <w:rStyle w:val="58"/>
          <w:rFonts w:ascii="宋体" w:hAnsi="宋体"/>
        </w:rPr>
        <w:t>详见投标人须知前附表。</w:t>
      </w:r>
    </w:p>
    <w:p>
      <w:pPr>
        <w:pStyle w:val="62"/>
        <w:spacing w:before="0" w:after="0"/>
        <w:rPr>
          <w:rStyle w:val="58"/>
          <w:rFonts w:ascii="宋体" w:hAnsi="宋体"/>
          <w:sz w:val="24"/>
        </w:rPr>
      </w:pPr>
      <w:r>
        <w:rPr>
          <w:rStyle w:val="58"/>
          <w:rFonts w:ascii="宋体" w:hAnsi="宋体"/>
          <w:sz w:val="24"/>
        </w:rPr>
        <w:t>1.12 偏离</w:t>
      </w:r>
    </w:p>
    <w:p>
      <w:pPr>
        <w:spacing w:line="360" w:lineRule="auto"/>
        <w:ind w:firstLine="464" w:firstLineChars="221"/>
        <w:rPr>
          <w:rStyle w:val="58"/>
          <w:rFonts w:ascii="宋体" w:hAnsi="宋体"/>
        </w:rPr>
      </w:pPr>
      <w:r>
        <w:rPr>
          <w:rStyle w:val="58"/>
          <w:rFonts w:ascii="宋体" w:hAnsi="宋体"/>
        </w:rPr>
        <w:t>不允许。</w:t>
      </w:r>
    </w:p>
    <w:p>
      <w:pPr>
        <w:pStyle w:val="7"/>
        <w:spacing w:before="0" w:after="0"/>
        <w:jc w:val="center"/>
        <w:rPr>
          <w:sz w:val="30"/>
          <w:szCs w:val="30"/>
        </w:rPr>
      </w:pPr>
      <w:bookmarkStart w:id="37" w:name="_Toc11696"/>
      <w:bookmarkStart w:id="38" w:name="_Toc16063894"/>
      <w:bookmarkStart w:id="39" w:name="_Toc211261902"/>
      <w:bookmarkStart w:id="40" w:name="_Toc17817324"/>
      <w:r>
        <w:rPr>
          <w:sz w:val="30"/>
          <w:szCs w:val="30"/>
        </w:rPr>
        <w:t>2. 招标文件</w:t>
      </w:r>
      <w:bookmarkEnd w:id="37"/>
      <w:bookmarkEnd w:id="38"/>
      <w:bookmarkEnd w:id="39"/>
      <w:bookmarkEnd w:id="40"/>
    </w:p>
    <w:p>
      <w:pPr>
        <w:pStyle w:val="62"/>
        <w:spacing w:before="0" w:after="0"/>
        <w:rPr>
          <w:rStyle w:val="58"/>
          <w:rFonts w:ascii="宋体" w:hAnsi="宋体"/>
          <w:sz w:val="24"/>
        </w:rPr>
      </w:pPr>
      <w:r>
        <w:rPr>
          <w:rStyle w:val="58"/>
          <w:rFonts w:ascii="宋体" w:hAnsi="宋体"/>
          <w:sz w:val="24"/>
        </w:rPr>
        <w:t>2.1 招标文件的组成</w:t>
      </w:r>
    </w:p>
    <w:p>
      <w:pPr>
        <w:spacing w:line="360" w:lineRule="auto"/>
        <w:ind w:firstLine="359" w:firstLineChars="171"/>
        <w:rPr>
          <w:rStyle w:val="58"/>
          <w:rFonts w:ascii="宋体" w:hAnsi="宋体"/>
        </w:rPr>
      </w:pPr>
      <w:r>
        <w:rPr>
          <w:rStyle w:val="58"/>
          <w:rFonts w:ascii="宋体" w:hAnsi="宋体"/>
        </w:rPr>
        <w:t>本招标文件包括：</w:t>
      </w:r>
    </w:p>
    <w:p>
      <w:pPr>
        <w:spacing w:line="360" w:lineRule="auto"/>
        <w:ind w:firstLine="359" w:firstLineChars="171"/>
        <w:rPr>
          <w:rStyle w:val="58"/>
          <w:rFonts w:ascii="宋体" w:hAnsi="宋体"/>
        </w:rPr>
      </w:pPr>
      <w:r>
        <w:rPr>
          <w:rStyle w:val="58"/>
          <w:rFonts w:ascii="宋体" w:hAnsi="宋体"/>
        </w:rPr>
        <w:t>（1）</w:t>
      </w:r>
      <w:r>
        <w:rPr>
          <w:rStyle w:val="58"/>
          <w:rFonts w:hint="eastAsia" w:ascii="宋体" w:hAnsi="宋体"/>
        </w:rPr>
        <w:t>招标公告</w:t>
      </w:r>
      <w:r>
        <w:rPr>
          <w:rStyle w:val="58"/>
          <w:rFonts w:ascii="宋体" w:hAnsi="宋体"/>
        </w:rPr>
        <w:t>；</w:t>
      </w:r>
    </w:p>
    <w:p>
      <w:pPr>
        <w:spacing w:line="360" w:lineRule="auto"/>
        <w:ind w:firstLine="359" w:firstLineChars="171"/>
        <w:rPr>
          <w:rStyle w:val="58"/>
          <w:rFonts w:ascii="宋体" w:hAnsi="宋体"/>
        </w:rPr>
      </w:pPr>
      <w:r>
        <w:rPr>
          <w:rStyle w:val="58"/>
          <w:rFonts w:ascii="宋体" w:hAnsi="宋体"/>
        </w:rPr>
        <w:t>（2）投标人须知；</w:t>
      </w:r>
    </w:p>
    <w:p>
      <w:pPr>
        <w:spacing w:line="360" w:lineRule="auto"/>
        <w:ind w:firstLine="359" w:firstLineChars="171"/>
        <w:rPr>
          <w:rStyle w:val="58"/>
          <w:rFonts w:ascii="宋体" w:hAnsi="宋体"/>
        </w:rPr>
      </w:pPr>
      <w:r>
        <w:rPr>
          <w:rStyle w:val="58"/>
          <w:rFonts w:ascii="宋体" w:hAnsi="宋体"/>
        </w:rPr>
        <w:t>（3）评标办法；</w:t>
      </w:r>
    </w:p>
    <w:p>
      <w:pPr>
        <w:spacing w:line="360" w:lineRule="auto"/>
        <w:ind w:firstLine="359" w:firstLineChars="171"/>
        <w:rPr>
          <w:rStyle w:val="58"/>
          <w:rFonts w:ascii="宋体" w:hAnsi="宋体"/>
        </w:rPr>
      </w:pPr>
      <w:r>
        <w:rPr>
          <w:rStyle w:val="58"/>
          <w:rFonts w:ascii="宋体" w:hAnsi="宋体"/>
        </w:rPr>
        <w:t>（4）合同条款及格式；</w:t>
      </w:r>
    </w:p>
    <w:p>
      <w:pPr>
        <w:spacing w:line="360" w:lineRule="auto"/>
        <w:ind w:firstLine="359" w:firstLineChars="171"/>
        <w:rPr>
          <w:rStyle w:val="58"/>
          <w:rFonts w:ascii="宋体" w:hAnsi="宋体"/>
        </w:rPr>
      </w:pPr>
      <w:r>
        <w:rPr>
          <w:rStyle w:val="58"/>
          <w:rFonts w:ascii="宋体" w:hAnsi="宋体"/>
        </w:rPr>
        <w:t xml:space="preserve">（5）工程量清单； </w:t>
      </w:r>
    </w:p>
    <w:p>
      <w:pPr>
        <w:spacing w:line="360" w:lineRule="auto"/>
        <w:ind w:firstLine="359" w:firstLineChars="171"/>
        <w:rPr>
          <w:rStyle w:val="58"/>
          <w:rFonts w:ascii="宋体" w:hAnsi="宋体"/>
        </w:rPr>
      </w:pPr>
      <w:r>
        <w:rPr>
          <w:rStyle w:val="58"/>
          <w:rFonts w:ascii="宋体" w:hAnsi="宋体"/>
        </w:rPr>
        <w:t xml:space="preserve">（6）图纸； </w:t>
      </w:r>
    </w:p>
    <w:p>
      <w:pPr>
        <w:spacing w:line="360" w:lineRule="auto"/>
        <w:ind w:firstLine="359" w:firstLineChars="171"/>
        <w:rPr>
          <w:rStyle w:val="58"/>
          <w:rFonts w:ascii="宋体" w:hAnsi="宋体"/>
        </w:rPr>
      </w:pPr>
      <w:r>
        <w:rPr>
          <w:rStyle w:val="58"/>
          <w:rFonts w:ascii="宋体" w:hAnsi="宋体"/>
        </w:rPr>
        <w:t xml:space="preserve">（7）技术标准和要求； </w:t>
      </w:r>
    </w:p>
    <w:p>
      <w:pPr>
        <w:spacing w:line="360" w:lineRule="auto"/>
        <w:ind w:firstLine="359" w:firstLineChars="171"/>
        <w:rPr>
          <w:rStyle w:val="58"/>
          <w:rFonts w:ascii="宋体" w:hAnsi="宋体"/>
        </w:rPr>
      </w:pPr>
      <w:r>
        <w:rPr>
          <w:rStyle w:val="58"/>
          <w:rFonts w:ascii="宋体" w:hAnsi="宋体"/>
        </w:rPr>
        <w:t>（8）投标文件格式；</w:t>
      </w:r>
    </w:p>
    <w:p>
      <w:pPr>
        <w:spacing w:line="360" w:lineRule="auto"/>
        <w:ind w:firstLine="359" w:firstLineChars="171"/>
        <w:rPr>
          <w:rStyle w:val="58"/>
          <w:rFonts w:ascii="宋体" w:hAnsi="宋体"/>
        </w:rPr>
      </w:pPr>
      <w:r>
        <w:rPr>
          <w:rStyle w:val="58"/>
          <w:rFonts w:ascii="宋体" w:hAnsi="宋体"/>
        </w:rPr>
        <w:t>（9）投标人须知前附表规定的其他材料。</w:t>
      </w:r>
    </w:p>
    <w:p>
      <w:pPr>
        <w:spacing w:line="360" w:lineRule="auto"/>
        <w:ind w:firstLine="420" w:firstLineChars="200"/>
        <w:rPr>
          <w:rStyle w:val="58"/>
          <w:rFonts w:ascii="宋体" w:hAnsi="宋体"/>
        </w:rPr>
      </w:pPr>
      <w:r>
        <w:rPr>
          <w:rStyle w:val="58"/>
          <w:rFonts w:ascii="宋体" w:hAnsi="宋体"/>
        </w:rPr>
        <w:t>根据本章</w:t>
      </w:r>
      <w:r>
        <w:rPr>
          <w:rStyle w:val="45"/>
          <w:rFonts w:ascii="宋体" w:hAnsi="宋体"/>
          <w:color w:val="auto"/>
          <w:sz w:val="21"/>
        </w:rPr>
        <w:t>第2.2款</w:t>
      </w:r>
      <w:r>
        <w:rPr>
          <w:rStyle w:val="58"/>
          <w:rFonts w:ascii="宋体" w:hAnsi="宋体"/>
        </w:rPr>
        <w:t>和</w:t>
      </w:r>
      <w:r>
        <w:rPr>
          <w:rStyle w:val="45"/>
          <w:rFonts w:ascii="宋体" w:hAnsi="宋体"/>
          <w:color w:val="auto"/>
          <w:sz w:val="21"/>
        </w:rPr>
        <w:t>第2.3款</w:t>
      </w:r>
      <w:r>
        <w:rPr>
          <w:rStyle w:val="58"/>
          <w:rFonts w:ascii="宋体" w:hAnsi="宋体"/>
        </w:rPr>
        <w:t>对招标文件所作的澄清、修改，构成招标文件的组成部分。</w:t>
      </w:r>
    </w:p>
    <w:p>
      <w:pPr>
        <w:pStyle w:val="62"/>
        <w:spacing w:before="0" w:after="0"/>
        <w:rPr>
          <w:rStyle w:val="58"/>
          <w:rFonts w:ascii="宋体" w:hAnsi="宋体"/>
          <w:sz w:val="24"/>
        </w:rPr>
      </w:pPr>
      <w:r>
        <w:rPr>
          <w:rStyle w:val="58"/>
          <w:rFonts w:ascii="宋体" w:hAnsi="宋体"/>
          <w:sz w:val="24"/>
        </w:rPr>
        <w:t>2.2 招标文件的澄清</w:t>
      </w:r>
    </w:p>
    <w:p>
      <w:pPr>
        <w:spacing w:line="360" w:lineRule="auto"/>
        <w:ind w:firstLine="420" w:firstLineChars="200"/>
        <w:rPr>
          <w:rStyle w:val="58"/>
          <w:rFonts w:ascii="宋体" w:hAnsi="宋体"/>
        </w:rPr>
      </w:pPr>
      <w:r>
        <w:rPr>
          <w:rStyle w:val="58"/>
          <w:rFonts w:ascii="宋体" w:hAnsi="宋体"/>
        </w:rPr>
        <w:t>2.2.1投标人应仔细阅读和检查招标文件的全部内容。</w:t>
      </w:r>
      <w:r>
        <w:rPr>
          <w:rStyle w:val="58"/>
          <w:rFonts w:ascii="宋体" w:hAnsi="宋体"/>
          <w:szCs w:val="21"/>
        </w:rPr>
        <w:t>如发现缺页或附件不全，应及时向招标人提出，以便补齐。</w:t>
      </w:r>
      <w:r>
        <w:rPr>
          <w:rStyle w:val="58"/>
          <w:rFonts w:ascii="宋体" w:hAnsi="宋体"/>
        </w:rPr>
        <w:t>如有疑问，应在投标人须知前附表规定的时间前以书面形式（包括邮件、传真等可以有形地表现所载内容的形式，下同），要求招标人对招标文件予以澄清。</w:t>
      </w:r>
    </w:p>
    <w:p>
      <w:pPr>
        <w:spacing w:line="360" w:lineRule="auto"/>
        <w:ind w:firstLine="420" w:firstLineChars="200"/>
        <w:rPr>
          <w:rStyle w:val="58"/>
          <w:rFonts w:ascii="宋体" w:hAnsi="宋体"/>
        </w:rPr>
      </w:pPr>
      <w:r>
        <w:rPr>
          <w:rStyle w:val="58"/>
          <w:rFonts w:ascii="宋体" w:hAnsi="宋体"/>
        </w:rPr>
        <w:t>2.2.2 招标文件的澄清将在投标人须知前附表规定的投标截止时间</w:t>
      </w:r>
      <w:r>
        <w:rPr>
          <w:rStyle w:val="58"/>
          <w:rFonts w:ascii="宋体" w:hAnsi="宋体"/>
          <w:b/>
          <w:bCs/>
          <w:highlight w:val="yellow"/>
        </w:rPr>
        <w:t>15天前</w:t>
      </w:r>
      <w:r>
        <w:rPr>
          <w:rStyle w:val="58"/>
          <w:rFonts w:ascii="宋体" w:hAnsi="宋体"/>
        </w:rPr>
        <w:t>以书面形式发给所有购买招标文件的投标人，但不指明澄清问题的来源。如果澄清发出的时间距投标截止时间不足15天，相应延长投标截止时间。</w:t>
      </w:r>
    </w:p>
    <w:p>
      <w:pPr>
        <w:spacing w:line="360" w:lineRule="auto"/>
        <w:ind w:firstLine="420" w:firstLineChars="200"/>
        <w:rPr>
          <w:rStyle w:val="58"/>
          <w:rFonts w:ascii="宋体" w:hAnsi="宋体"/>
        </w:rPr>
      </w:pPr>
      <w:r>
        <w:rPr>
          <w:rStyle w:val="58"/>
          <w:rFonts w:ascii="宋体" w:hAnsi="宋体"/>
        </w:rPr>
        <w:t>2.2.3 投标人在收到澄清后，应在投标人须知前附表规定的时间内以书面形式通知招标人，确认已收到该澄清。</w:t>
      </w:r>
    </w:p>
    <w:p>
      <w:pPr>
        <w:pStyle w:val="62"/>
        <w:spacing w:before="0" w:after="0"/>
        <w:rPr>
          <w:rStyle w:val="58"/>
          <w:rFonts w:ascii="宋体" w:hAnsi="宋体"/>
          <w:sz w:val="24"/>
        </w:rPr>
      </w:pPr>
      <w:r>
        <w:rPr>
          <w:rStyle w:val="58"/>
          <w:rFonts w:ascii="宋体" w:hAnsi="宋体"/>
          <w:sz w:val="24"/>
        </w:rPr>
        <w:t>2.3 招标文件的修改</w:t>
      </w:r>
    </w:p>
    <w:p>
      <w:pPr>
        <w:spacing w:line="360" w:lineRule="auto"/>
        <w:ind w:firstLine="420" w:firstLineChars="200"/>
        <w:rPr>
          <w:rStyle w:val="58"/>
          <w:rFonts w:ascii="宋体" w:hAnsi="宋体"/>
        </w:rPr>
      </w:pPr>
      <w:r>
        <w:rPr>
          <w:rStyle w:val="58"/>
          <w:rFonts w:ascii="宋体" w:hAnsi="宋体"/>
        </w:rPr>
        <w:t xml:space="preserve">2.3.1 在投标截止时间15天前，招标人可以书面形式修改招标文件，并通知所有已购买招标文件的投标人。如果修改招标文件的时间距投标截止时间不足15天，相应延长投标截止时间。 </w:t>
      </w:r>
    </w:p>
    <w:p>
      <w:pPr>
        <w:spacing w:line="360" w:lineRule="auto"/>
        <w:ind w:firstLine="420" w:firstLineChars="200"/>
        <w:rPr>
          <w:rStyle w:val="58"/>
          <w:rFonts w:ascii="宋体" w:hAnsi="宋体"/>
        </w:rPr>
      </w:pPr>
      <w:r>
        <w:rPr>
          <w:rStyle w:val="58"/>
          <w:rFonts w:ascii="宋体" w:hAnsi="宋体"/>
        </w:rPr>
        <w:t>2.3.2 投标人收到修改内容后，应在投标人须知前附表规定的时间内以书面形式通知招标人，确认已收到该修改。</w:t>
      </w:r>
    </w:p>
    <w:p>
      <w:pPr>
        <w:pStyle w:val="7"/>
        <w:spacing w:before="0" w:after="0"/>
        <w:jc w:val="center"/>
        <w:rPr>
          <w:sz w:val="30"/>
          <w:szCs w:val="30"/>
        </w:rPr>
      </w:pPr>
      <w:bookmarkStart w:id="41" w:name="_Toc211261903"/>
      <w:bookmarkStart w:id="42" w:name="_Toc24274"/>
      <w:bookmarkStart w:id="43" w:name="_Toc16063895"/>
      <w:bookmarkStart w:id="44" w:name="_Toc17817325"/>
      <w:r>
        <w:rPr>
          <w:sz w:val="30"/>
          <w:szCs w:val="30"/>
        </w:rPr>
        <w:t>3. 投标文件</w:t>
      </w:r>
      <w:bookmarkEnd w:id="41"/>
      <w:bookmarkEnd w:id="42"/>
      <w:bookmarkEnd w:id="43"/>
      <w:bookmarkEnd w:id="44"/>
    </w:p>
    <w:p>
      <w:pPr>
        <w:pStyle w:val="62"/>
        <w:spacing w:before="0" w:after="0"/>
        <w:rPr>
          <w:rStyle w:val="58"/>
          <w:rFonts w:ascii="宋体" w:hAnsi="宋体"/>
          <w:sz w:val="24"/>
        </w:rPr>
      </w:pPr>
      <w:r>
        <w:rPr>
          <w:rStyle w:val="58"/>
          <w:rFonts w:ascii="宋体" w:hAnsi="宋体"/>
          <w:sz w:val="24"/>
        </w:rPr>
        <w:t>3.1 投标文件的组成</w:t>
      </w:r>
    </w:p>
    <w:p>
      <w:pPr>
        <w:spacing w:line="360" w:lineRule="auto"/>
        <w:ind w:firstLine="465"/>
        <w:rPr>
          <w:rStyle w:val="58"/>
          <w:rFonts w:ascii="宋体" w:hAnsi="宋体"/>
        </w:rPr>
      </w:pPr>
      <w:r>
        <w:rPr>
          <w:rStyle w:val="58"/>
          <w:rFonts w:ascii="宋体" w:hAnsi="宋体"/>
        </w:rPr>
        <w:t>3.1.1投标文件应包括下列内容：</w:t>
      </w:r>
    </w:p>
    <w:p>
      <w:pPr>
        <w:pStyle w:val="67"/>
        <w:numPr>
          <w:ilvl w:val="0"/>
          <w:numId w:val="7"/>
        </w:numPr>
        <w:spacing w:line="360" w:lineRule="auto"/>
        <w:ind w:firstLineChars="0"/>
        <w:rPr>
          <w:rStyle w:val="58"/>
          <w:rFonts w:ascii="宋体" w:hAnsi="宋体"/>
        </w:rPr>
      </w:pPr>
      <w:r>
        <w:rPr>
          <w:rStyle w:val="58"/>
          <w:rFonts w:ascii="宋体" w:hAnsi="宋体"/>
        </w:rPr>
        <w:t>投标函及投标函附录；</w:t>
      </w:r>
    </w:p>
    <w:p>
      <w:pPr>
        <w:pStyle w:val="67"/>
        <w:numPr>
          <w:ilvl w:val="0"/>
          <w:numId w:val="7"/>
        </w:numPr>
        <w:spacing w:line="360" w:lineRule="auto"/>
        <w:ind w:firstLineChars="0"/>
        <w:rPr>
          <w:rStyle w:val="58"/>
          <w:rFonts w:ascii="宋体" w:hAnsi="宋体"/>
        </w:rPr>
      </w:pPr>
      <w:r>
        <w:rPr>
          <w:rStyle w:val="58"/>
          <w:rFonts w:ascii="宋体" w:hAnsi="宋体"/>
        </w:rPr>
        <w:t>法定代表人身份证明或附有法定代表人身份证明的授权委托书；</w:t>
      </w:r>
    </w:p>
    <w:p>
      <w:pPr>
        <w:pStyle w:val="67"/>
        <w:numPr>
          <w:ilvl w:val="0"/>
          <w:numId w:val="7"/>
        </w:numPr>
        <w:spacing w:line="360" w:lineRule="auto"/>
        <w:ind w:firstLineChars="0"/>
        <w:rPr>
          <w:rStyle w:val="58"/>
          <w:rFonts w:ascii="宋体" w:hAnsi="宋体"/>
        </w:rPr>
      </w:pPr>
      <w:r>
        <w:rPr>
          <w:rStyle w:val="58"/>
          <w:rFonts w:ascii="宋体" w:hAnsi="宋体"/>
        </w:rPr>
        <w:t>联合体协议书（如有）；</w:t>
      </w:r>
    </w:p>
    <w:p>
      <w:pPr>
        <w:pStyle w:val="67"/>
        <w:numPr>
          <w:ilvl w:val="0"/>
          <w:numId w:val="7"/>
        </w:numPr>
        <w:spacing w:line="360" w:lineRule="auto"/>
        <w:ind w:firstLineChars="0"/>
        <w:rPr>
          <w:rStyle w:val="58"/>
          <w:rFonts w:ascii="宋体" w:hAnsi="宋体"/>
        </w:rPr>
      </w:pPr>
      <w:r>
        <w:rPr>
          <w:rStyle w:val="58"/>
          <w:rFonts w:ascii="宋体" w:hAnsi="宋体"/>
        </w:rPr>
        <w:t>投标保证金；</w:t>
      </w:r>
    </w:p>
    <w:p>
      <w:pPr>
        <w:pStyle w:val="67"/>
        <w:numPr>
          <w:ilvl w:val="0"/>
          <w:numId w:val="7"/>
        </w:numPr>
        <w:spacing w:line="360" w:lineRule="auto"/>
        <w:ind w:firstLineChars="0"/>
        <w:rPr>
          <w:rStyle w:val="58"/>
          <w:rFonts w:ascii="宋体" w:hAnsi="宋体"/>
        </w:rPr>
      </w:pPr>
      <w:r>
        <w:rPr>
          <w:rStyle w:val="58"/>
          <w:rFonts w:ascii="宋体" w:hAnsi="宋体"/>
        </w:rPr>
        <w:t>商务报价（含已标价工程量清单）；</w:t>
      </w:r>
    </w:p>
    <w:p>
      <w:pPr>
        <w:pStyle w:val="67"/>
        <w:numPr>
          <w:ilvl w:val="0"/>
          <w:numId w:val="7"/>
        </w:numPr>
        <w:spacing w:line="360" w:lineRule="auto"/>
        <w:ind w:firstLineChars="0"/>
        <w:rPr>
          <w:rStyle w:val="58"/>
          <w:rFonts w:ascii="宋体" w:hAnsi="宋体"/>
        </w:rPr>
      </w:pPr>
      <w:bookmarkStart w:id="45" w:name="_Toc22048063"/>
      <w:r>
        <w:rPr>
          <w:rStyle w:val="58"/>
          <w:rFonts w:ascii="宋体" w:hAnsi="宋体"/>
        </w:rPr>
        <w:t>施工组织设计</w:t>
      </w:r>
      <w:bookmarkEnd w:id="45"/>
    </w:p>
    <w:p>
      <w:pPr>
        <w:pStyle w:val="67"/>
        <w:numPr>
          <w:ilvl w:val="0"/>
          <w:numId w:val="7"/>
        </w:numPr>
        <w:spacing w:line="360" w:lineRule="auto"/>
        <w:ind w:firstLineChars="0"/>
        <w:rPr>
          <w:rStyle w:val="58"/>
          <w:rFonts w:ascii="宋体" w:hAnsi="宋体"/>
        </w:rPr>
      </w:pPr>
      <w:r>
        <w:rPr>
          <w:rFonts w:hint="eastAsia"/>
        </w:rPr>
        <w:sym w:font="Wingdings 2" w:char="F052"/>
      </w:r>
      <w:r>
        <w:rPr>
          <w:rStyle w:val="58"/>
          <w:rFonts w:ascii="宋体" w:hAnsi="宋体"/>
        </w:rPr>
        <w:t>项目管理机构</w:t>
      </w:r>
    </w:p>
    <w:p>
      <w:pPr>
        <w:pStyle w:val="67"/>
        <w:numPr>
          <w:ilvl w:val="0"/>
          <w:numId w:val="7"/>
        </w:numPr>
        <w:spacing w:line="360" w:lineRule="auto"/>
        <w:ind w:firstLineChars="0"/>
        <w:rPr>
          <w:rFonts w:ascii="宋体" w:hAnsi="宋体"/>
        </w:rPr>
      </w:pPr>
      <w:r>
        <w:rPr>
          <w:rStyle w:val="58"/>
          <w:rFonts w:ascii="宋体" w:hAnsi="宋体"/>
          <w:szCs w:val="22"/>
        </w:rPr>
        <w:t>投标人须知</w:t>
      </w:r>
      <w:r>
        <w:rPr>
          <w:rStyle w:val="58"/>
          <w:rFonts w:ascii="宋体" w:hAnsi="宋体"/>
        </w:rPr>
        <w:t>前附表规定的其他材料</w:t>
      </w:r>
      <w:r>
        <w:rPr>
          <w:rStyle w:val="58"/>
          <w:rFonts w:hint="eastAsia" w:ascii="宋体" w:hAnsi="宋体"/>
        </w:rPr>
        <w:t>；</w:t>
      </w:r>
    </w:p>
    <w:p>
      <w:pPr>
        <w:pStyle w:val="67"/>
        <w:numPr>
          <w:ilvl w:val="0"/>
          <w:numId w:val="7"/>
        </w:numPr>
        <w:spacing w:line="360" w:lineRule="auto"/>
        <w:ind w:firstLineChars="0"/>
        <w:rPr>
          <w:rFonts w:ascii="宋体" w:hAnsi="宋体"/>
        </w:rPr>
      </w:pPr>
      <w:r>
        <w:rPr>
          <w:rStyle w:val="58"/>
          <w:rFonts w:ascii="宋体" w:hAnsi="宋体"/>
        </w:rPr>
        <w:t>资格审查文件。</w:t>
      </w:r>
    </w:p>
    <w:p>
      <w:pPr>
        <w:spacing w:line="360" w:lineRule="auto"/>
        <w:ind w:firstLine="359" w:firstLineChars="171"/>
        <w:rPr>
          <w:rStyle w:val="58"/>
          <w:rFonts w:ascii="宋体" w:hAnsi="宋体"/>
        </w:rPr>
      </w:pPr>
      <w:r>
        <w:rPr>
          <w:rStyle w:val="58"/>
          <w:rFonts w:ascii="宋体" w:hAnsi="宋体"/>
        </w:rPr>
        <w:t xml:space="preserve">3.1.2 投标人须知前附表规定不接受联合体投标的，或投标人没有组成联合体的，投标文件不包括本章第3.1.1（3）目所指的联合体协议书。 </w:t>
      </w:r>
    </w:p>
    <w:p>
      <w:pPr>
        <w:pStyle w:val="62"/>
        <w:spacing w:before="0" w:after="0"/>
        <w:rPr>
          <w:rStyle w:val="58"/>
          <w:rFonts w:ascii="宋体" w:hAnsi="宋体"/>
          <w:sz w:val="24"/>
        </w:rPr>
      </w:pPr>
      <w:r>
        <w:rPr>
          <w:rStyle w:val="58"/>
          <w:rFonts w:ascii="宋体" w:hAnsi="宋体"/>
          <w:sz w:val="24"/>
        </w:rPr>
        <w:t>3.2 投标报价</w:t>
      </w:r>
    </w:p>
    <w:p>
      <w:pPr>
        <w:spacing w:line="360" w:lineRule="auto"/>
        <w:ind w:firstLine="420" w:firstLineChars="200"/>
        <w:rPr>
          <w:rStyle w:val="58"/>
          <w:rFonts w:ascii="宋体" w:hAnsi="宋体"/>
        </w:rPr>
      </w:pPr>
      <w:r>
        <w:rPr>
          <w:rStyle w:val="58"/>
          <w:rFonts w:ascii="宋体" w:hAnsi="宋体"/>
        </w:rPr>
        <w:t>3.2.1 投标人应按</w:t>
      </w:r>
      <w:r>
        <w:rPr>
          <w:rStyle w:val="45"/>
          <w:rFonts w:ascii="宋体" w:hAnsi="宋体"/>
          <w:color w:val="auto"/>
          <w:sz w:val="21"/>
        </w:rPr>
        <w:t>第五章“工程量清单”</w:t>
      </w:r>
      <w:r>
        <w:rPr>
          <w:rStyle w:val="58"/>
          <w:rFonts w:ascii="宋体" w:hAnsi="宋体"/>
        </w:rPr>
        <w:t>的要求填写相应表格。</w:t>
      </w:r>
    </w:p>
    <w:p>
      <w:pPr>
        <w:spacing w:line="360" w:lineRule="auto"/>
        <w:ind w:firstLine="420" w:firstLineChars="200"/>
        <w:rPr>
          <w:rStyle w:val="58"/>
          <w:rFonts w:ascii="宋体" w:hAnsi="宋体"/>
        </w:rPr>
      </w:pPr>
      <w:r>
        <w:rPr>
          <w:rStyle w:val="58"/>
          <w:rFonts w:ascii="宋体" w:hAnsi="宋体"/>
        </w:rPr>
        <w:t>3.2.2 投标人在投标截止时间前修改投标函中的投标总报价，应同时修改</w:t>
      </w:r>
      <w:r>
        <w:rPr>
          <w:rStyle w:val="45"/>
          <w:rFonts w:ascii="宋体" w:hAnsi="宋体"/>
          <w:color w:val="auto"/>
          <w:sz w:val="21"/>
        </w:rPr>
        <w:t>第五章“工程量清单”</w:t>
      </w:r>
      <w:r>
        <w:rPr>
          <w:rStyle w:val="58"/>
          <w:rFonts w:ascii="宋体" w:hAnsi="宋体"/>
        </w:rPr>
        <w:t>中的相应报价。此修改须符合本章</w:t>
      </w:r>
      <w:r>
        <w:rPr>
          <w:rStyle w:val="45"/>
          <w:rFonts w:ascii="宋体" w:hAnsi="宋体"/>
          <w:color w:val="auto"/>
          <w:sz w:val="21"/>
        </w:rPr>
        <w:t>第4.3款</w:t>
      </w:r>
      <w:r>
        <w:rPr>
          <w:rStyle w:val="58"/>
          <w:rFonts w:ascii="宋体" w:hAnsi="宋体"/>
        </w:rPr>
        <w:t>的有关要求。</w:t>
      </w:r>
    </w:p>
    <w:p>
      <w:pPr>
        <w:pStyle w:val="62"/>
        <w:spacing w:before="0" w:after="0"/>
        <w:rPr>
          <w:rStyle w:val="58"/>
          <w:rFonts w:ascii="宋体" w:hAnsi="宋体"/>
          <w:sz w:val="24"/>
        </w:rPr>
      </w:pPr>
      <w:r>
        <w:rPr>
          <w:rStyle w:val="58"/>
          <w:rFonts w:ascii="宋体" w:hAnsi="宋体"/>
          <w:sz w:val="24"/>
        </w:rPr>
        <w:t>3.3 投标有效期</w:t>
      </w:r>
    </w:p>
    <w:p>
      <w:pPr>
        <w:spacing w:line="360" w:lineRule="auto"/>
        <w:ind w:firstLine="420" w:firstLineChars="200"/>
        <w:rPr>
          <w:rStyle w:val="58"/>
          <w:rFonts w:ascii="宋体" w:hAnsi="宋体"/>
        </w:rPr>
      </w:pPr>
      <w:r>
        <w:rPr>
          <w:rStyle w:val="58"/>
          <w:rFonts w:ascii="宋体" w:hAnsi="宋体"/>
        </w:rPr>
        <w:t>3.3.1 在投标人须知前附表规定的投标有效期内，投标人不得要求撤销或修改其投标文件。</w:t>
      </w:r>
    </w:p>
    <w:p>
      <w:pPr>
        <w:spacing w:line="360" w:lineRule="auto"/>
        <w:ind w:firstLine="420" w:firstLineChars="200"/>
        <w:rPr>
          <w:rStyle w:val="58"/>
          <w:rFonts w:ascii="宋体" w:hAnsi="宋体"/>
        </w:rPr>
      </w:pPr>
      <w:r>
        <w:rPr>
          <w:rStyle w:val="58"/>
          <w:rFonts w:ascii="宋体" w:hAnsi="宋体"/>
        </w:rPr>
        <w:t>3.3.2出现特殊情况需要延长投标有效期的，招标人以书面形式通知所有投标人延长投标有效期。投标人同意延长的，应相应延长其投标保证金的有效期，但不得要求或被允许修改或撤销其投标文件；投标人拒绝延长的，其投标失效，但投标人有权收回其投标保证金。</w:t>
      </w:r>
    </w:p>
    <w:p>
      <w:pPr>
        <w:pStyle w:val="62"/>
        <w:spacing w:before="0" w:after="0"/>
        <w:rPr>
          <w:rStyle w:val="58"/>
          <w:rFonts w:ascii="宋体" w:hAnsi="宋体"/>
          <w:sz w:val="24"/>
        </w:rPr>
      </w:pPr>
      <w:r>
        <w:rPr>
          <w:rStyle w:val="58"/>
          <w:rFonts w:ascii="宋体" w:hAnsi="宋体"/>
          <w:sz w:val="24"/>
        </w:rPr>
        <w:t>3.4 投标保证金</w:t>
      </w:r>
    </w:p>
    <w:p>
      <w:pPr>
        <w:spacing w:line="360" w:lineRule="auto"/>
        <w:ind w:firstLine="420" w:firstLineChars="200"/>
        <w:rPr>
          <w:rStyle w:val="58"/>
          <w:rFonts w:ascii="宋体" w:hAnsi="宋体"/>
        </w:rPr>
      </w:pPr>
      <w:r>
        <w:rPr>
          <w:rStyle w:val="58"/>
          <w:rFonts w:ascii="宋体" w:hAnsi="宋体"/>
        </w:rPr>
        <w:t>3.4.1 投标人在递交投标文件的同时，应按投标人须知前附表规定的金额和形式递交投标保证金，并作为其投标文件的组成部分。联合体投标的，其投标保证金由牵头人递交，并应符合投标人须知前附表的规定。</w:t>
      </w:r>
    </w:p>
    <w:p>
      <w:pPr>
        <w:spacing w:line="360" w:lineRule="auto"/>
        <w:ind w:firstLine="420" w:firstLineChars="200"/>
        <w:rPr>
          <w:rStyle w:val="58"/>
          <w:rFonts w:ascii="宋体" w:hAnsi="宋体"/>
        </w:rPr>
      </w:pPr>
      <w:r>
        <w:rPr>
          <w:rStyle w:val="58"/>
          <w:rFonts w:ascii="宋体" w:hAnsi="宋体"/>
        </w:rPr>
        <w:t>3.4.2 投标人不按本章第3.4.1项要求提交投标保证金的，其投标文件作</w:t>
      </w:r>
      <w:r>
        <w:rPr>
          <w:rStyle w:val="58"/>
          <w:rFonts w:hint="eastAsia" w:ascii="宋体" w:hAnsi="宋体"/>
        </w:rPr>
        <w:t>无效标</w:t>
      </w:r>
      <w:r>
        <w:rPr>
          <w:rStyle w:val="58"/>
          <w:rFonts w:ascii="宋体" w:hAnsi="宋体"/>
        </w:rPr>
        <w:t>处理。</w:t>
      </w:r>
    </w:p>
    <w:p>
      <w:pPr>
        <w:spacing w:line="360" w:lineRule="auto"/>
        <w:ind w:firstLine="420" w:firstLineChars="200"/>
        <w:rPr>
          <w:rStyle w:val="58"/>
          <w:rFonts w:ascii="宋体" w:hAnsi="宋体"/>
          <w:shd w:val="pct10" w:color="auto" w:fill="FFFFFF"/>
        </w:rPr>
      </w:pPr>
      <w:r>
        <w:rPr>
          <w:rStyle w:val="58"/>
          <w:rFonts w:ascii="宋体" w:hAnsi="宋体"/>
        </w:rPr>
        <w:t>3.4.3未中标的投标人投标保证金将在中标通知书发出后60日内予以退还。中标人的投标保证金将在招标人与中标人签订施工合同后60日内予以退还</w:t>
      </w:r>
      <w:r>
        <w:rPr>
          <w:rStyle w:val="58"/>
          <w:rFonts w:hint="eastAsia" w:ascii="宋体" w:hAnsi="宋体"/>
        </w:rPr>
        <w:t>，转为履约保证金的待具备退还条件后予以退还</w:t>
      </w:r>
      <w:r>
        <w:rPr>
          <w:rStyle w:val="58"/>
          <w:rFonts w:ascii="宋体" w:hAnsi="宋体"/>
        </w:rPr>
        <w:t>。</w:t>
      </w:r>
    </w:p>
    <w:p>
      <w:pPr>
        <w:spacing w:line="360" w:lineRule="auto"/>
        <w:ind w:firstLine="420" w:firstLineChars="200"/>
        <w:rPr>
          <w:rStyle w:val="58"/>
          <w:rFonts w:ascii="宋体" w:hAnsi="宋体"/>
        </w:rPr>
      </w:pPr>
      <w:r>
        <w:rPr>
          <w:rStyle w:val="58"/>
          <w:rFonts w:ascii="宋体" w:hAnsi="宋体"/>
        </w:rPr>
        <w:t xml:space="preserve">3.4.4 有下列情形之一的，投标保证金将不予退还： </w:t>
      </w:r>
    </w:p>
    <w:p>
      <w:pPr>
        <w:pStyle w:val="67"/>
        <w:numPr>
          <w:ilvl w:val="0"/>
          <w:numId w:val="8"/>
        </w:numPr>
        <w:spacing w:line="360" w:lineRule="auto"/>
        <w:ind w:left="0" w:firstLine="420" w:firstLineChars="0"/>
        <w:rPr>
          <w:rFonts w:ascii="宋体" w:hAnsi="宋体"/>
        </w:rPr>
      </w:pPr>
      <w:r>
        <w:rPr>
          <w:rFonts w:ascii="宋体" w:hAnsi="宋体"/>
        </w:rPr>
        <w:t>投标人在规定的投标有效期内撤销或修改其投标文件</w:t>
      </w:r>
      <w:r>
        <w:rPr>
          <w:rFonts w:hint="eastAsia" w:ascii="宋体" w:hAnsi="宋体"/>
        </w:rPr>
        <w:t>的</w:t>
      </w:r>
      <w:r>
        <w:rPr>
          <w:rFonts w:ascii="宋体" w:hAnsi="宋体"/>
        </w:rPr>
        <w:t>；</w:t>
      </w:r>
    </w:p>
    <w:p>
      <w:pPr>
        <w:pStyle w:val="67"/>
        <w:numPr>
          <w:ilvl w:val="0"/>
          <w:numId w:val="8"/>
        </w:numPr>
        <w:spacing w:line="360" w:lineRule="auto"/>
        <w:ind w:left="0" w:firstLine="420" w:firstLineChars="0"/>
        <w:rPr>
          <w:rFonts w:ascii="宋体" w:hAnsi="宋体"/>
        </w:rPr>
      </w:pPr>
      <w:r>
        <w:rPr>
          <w:rFonts w:hint="eastAsia" w:ascii="宋体" w:hAnsi="宋体"/>
        </w:rPr>
        <w:t>投标人与招标人、其他投标人或者采购代理机构恶意串通、围标、陪标的；</w:t>
      </w:r>
    </w:p>
    <w:p>
      <w:pPr>
        <w:pStyle w:val="67"/>
        <w:numPr>
          <w:ilvl w:val="0"/>
          <w:numId w:val="8"/>
        </w:numPr>
        <w:spacing w:line="360" w:lineRule="auto"/>
        <w:ind w:left="0" w:firstLine="420" w:firstLineChars="0"/>
        <w:rPr>
          <w:rFonts w:ascii="宋体" w:hAnsi="宋体"/>
        </w:rPr>
      </w:pPr>
      <w:r>
        <w:rPr>
          <w:rFonts w:hint="eastAsia" w:ascii="宋体" w:hAnsi="宋体"/>
        </w:rPr>
        <w:t>截至开标前3天，投标人无正当理由、未以书面形式向招标人递交说明而在投标截止日不来投标的；</w:t>
      </w:r>
    </w:p>
    <w:p>
      <w:pPr>
        <w:pStyle w:val="67"/>
        <w:numPr>
          <w:ilvl w:val="0"/>
          <w:numId w:val="8"/>
        </w:numPr>
        <w:spacing w:line="360" w:lineRule="auto"/>
        <w:ind w:left="0" w:firstLine="420" w:firstLineChars="0"/>
        <w:rPr>
          <w:rFonts w:ascii="宋体" w:hAnsi="宋体"/>
        </w:rPr>
      </w:pPr>
      <w:r>
        <w:rPr>
          <w:rFonts w:hint="eastAsia" w:ascii="宋体" w:hAnsi="宋体"/>
        </w:rPr>
        <w:t>投标人递送投标文件后，无正当理由放弃投标的；</w:t>
      </w:r>
    </w:p>
    <w:p>
      <w:pPr>
        <w:pStyle w:val="67"/>
        <w:numPr>
          <w:ilvl w:val="0"/>
          <w:numId w:val="8"/>
        </w:numPr>
        <w:spacing w:line="360" w:lineRule="auto"/>
        <w:ind w:left="0" w:firstLine="420" w:firstLineChars="0"/>
        <w:rPr>
          <w:rFonts w:ascii="宋体" w:hAnsi="宋体"/>
        </w:rPr>
      </w:pPr>
      <w:r>
        <w:rPr>
          <w:rFonts w:hint="eastAsia"/>
        </w:rPr>
        <w:t>投标人在投标文件中提供</w:t>
      </w:r>
      <w:r>
        <w:rPr>
          <w:rFonts w:hint="eastAsia" w:ascii="宋体" w:hAnsi="宋体"/>
        </w:rPr>
        <w:t>虚假材料的；</w:t>
      </w:r>
    </w:p>
    <w:p>
      <w:pPr>
        <w:pStyle w:val="67"/>
        <w:numPr>
          <w:ilvl w:val="0"/>
          <w:numId w:val="8"/>
        </w:numPr>
        <w:spacing w:line="360" w:lineRule="auto"/>
        <w:ind w:left="0" w:firstLine="420" w:firstLineChars="0"/>
        <w:rPr>
          <w:rFonts w:ascii="宋体" w:hAnsi="宋体"/>
        </w:rPr>
      </w:pPr>
      <w:r>
        <w:rPr>
          <w:rFonts w:hint="eastAsia" w:ascii="宋体" w:hAnsi="宋体"/>
        </w:rPr>
        <w:t>自中标通知书发出之日起30日内，中标人无正当理由不与招标人签订合同的；</w:t>
      </w:r>
    </w:p>
    <w:p>
      <w:pPr>
        <w:pStyle w:val="67"/>
        <w:numPr>
          <w:ilvl w:val="0"/>
          <w:numId w:val="8"/>
        </w:numPr>
        <w:spacing w:line="360" w:lineRule="auto"/>
        <w:ind w:left="0" w:firstLine="420" w:firstLineChars="0"/>
        <w:rPr>
          <w:rFonts w:ascii="宋体" w:hAnsi="宋体"/>
        </w:rPr>
      </w:pPr>
      <w:r>
        <w:rPr>
          <w:rFonts w:hint="eastAsia" w:ascii="宋体" w:hAnsi="宋体"/>
        </w:rPr>
        <w:t>除因不可抗力或谈判文件、询价通知书认可的情形以外，中标人不与招标人签订合同的；</w:t>
      </w:r>
    </w:p>
    <w:p>
      <w:pPr>
        <w:pStyle w:val="67"/>
        <w:numPr>
          <w:ilvl w:val="0"/>
          <w:numId w:val="8"/>
        </w:numPr>
        <w:spacing w:line="360" w:lineRule="auto"/>
        <w:ind w:left="0" w:firstLine="420" w:firstLineChars="0"/>
      </w:pPr>
      <w:r>
        <w:rPr>
          <w:rFonts w:hint="eastAsia" w:ascii="宋体" w:hAnsi="宋体"/>
        </w:rPr>
        <w:t>投标人有违约违规行为或被投诉、举报的，在调查处理期间，保证金暂不退还，待调查处理结束后按有关规定处理。</w:t>
      </w:r>
    </w:p>
    <w:p>
      <w:pPr>
        <w:pStyle w:val="62"/>
        <w:spacing w:before="0" w:after="0"/>
        <w:rPr>
          <w:rStyle w:val="58"/>
          <w:rFonts w:ascii="宋体" w:hAnsi="宋体"/>
          <w:sz w:val="24"/>
        </w:rPr>
      </w:pPr>
      <w:r>
        <w:rPr>
          <w:rStyle w:val="58"/>
          <w:rFonts w:ascii="宋体" w:hAnsi="宋体"/>
          <w:sz w:val="24"/>
        </w:rPr>
        <w:t>3.5 备选投标方案</w:t>
      </w:r>
    </w:p>
    <w:p>
      <w:pPr>
        <w:spacing w:line="360" w:lineRule="auto"/>
        <w:ind w:firstLine="420" w:firstLineChars="200"/>
        <w:rPr>
          <w:rStyle w:val="58"/>
          <w:rFonts w:ascii="宋体" w:hAnsi="宋体"/>
        </w:rPr>
      </w:pPr>
      <w:r>
        <w:rPr>
          <w:rStyle w:val="58"/>
          <w:rFonts w:ascii="宋体" w:hAnsi="宋体"/>
        </w:rPr>
        <w:t>除投标人须知前附表另有规定外，投标人不得递交备选投标方案。</w:t>
      </w:r>
    </w:p>
    <w:p>
      <w:pPr>
        <w:pStyle w:val="62"/>
        <w:spacing w:before="0" w:after="0"/>
        <w:rPr>
          <w:rStyle w:val="58"/>
          <w:rFonts w:ascii="宋体" w:hAnsi="宋体"/>
          <w:sz w:val="24"/>
        </w:rPr>
      </w:pPr>
      <w:r>
        <w:rPr>
          <w:rStyle w:val="58"/>
          <w:rFonts w:ascii="宋体" w:hAnsi="宋体"/>
          <w:sz w:val="24"/>
        </w:rPr>
        <w:t>3.6 投标文件的编制</w:t>
      </w:r>
    </w:p>
    <w:p>
      <w:pPr>
        <w:spacing w:line="360" w:lineRule="auto"/>
        <w:ind w:firstLine="420" w:firstLineChars="200"/>
        <w:rPr>
          <w:rStyle w:val="58"/>
          <w:rFonts w:ascii="宋体" w:hAnsi="宋体"/>
        </w:rPr>
      </w:pPr>
      <w:r>
        <w:rPr>
          <w:rStyle w:val="58"/>
          <w:rFonts w:ascii="宋体" w:hAnsi="宋体"/>
        </w:rPr>
        <w:t>3.6.1投标文件应按</w:t>
      </w:r>
      <w:r>
        <w:rPr>
          <w:rStyle w:val="45"/>
          <w:rFonts w:ascii="宋体" w:hAnsi="宋体"/>
          <w:color w:val="auto"/>
          <w:sz w:val="21"/>
        </w:rPr>
        <w:t>第八章“投标文件格式”</w:t>
      </w:r>
      <w:r>
        <w:rPr>
          <w:rStyle w:val="58"/>
          <w:rFonts w:ascii="宋体" w:hAnsi="宋体"/>
        </w:rPr>
        <w:t>进行编写，如有必要，可以增加附页，作为投标文件的组成部分。其中，投标函附录在满足招标文件实质性要求的基础上，可以提出比招标文件要求更有利于招标人的承诺。</w:t>
      </w:r>
    </w:p>
    <w:p>
      <w:pPr>
        <w:spacing w:line="360" w:lineRule="auto"/>
        <w:ind w:firstLine="420" w:firstLineChars="200"/>
        <w:rPr>
          <w:rStyle w:val="58"/>
          <w:rFonts w:ascii="宋体" w:hAnsi="宋体"/>
          <w:szCs w:val="21"/>
        </w:rPr>
      </w:pPr>
      <w:r>
        <w:rPr>
          <w:rStyle w:val="58"/>
          <w:rFonts w:ascii="宋体" w:hAnsi="宋体"/>
        </w:rPr>
        <w:t>3.6.2 投标文件应当对招标文件有关</w:t>
      </w:r>
      <w:r>
        <w:rPr>
          <w:rStyle w:val="58"/>
          <w:rFonts w:ascii="宋体" w:hAnsi="宋体"/>
          <w:szCs w:val="21"/>
        </w:rPr>
        <w:t>工期、投标有效期、质量要求、技术标准和要求、招标范围等实质性内容作出响应。</w:t>
      </w:r>
    </w:p>
    <w:p>
      <w:pPr>
        <w:spacing w:line="360" w:lineRule="auto"/>
        <w:ind w:firstLine="420" w:firstLineChars="200"/>
        <w:rPr>
          <w:rStyle w:val="58"/>
          <w:rFonts w:ascii="宋体" w:hAnsi="宋体"/>
        </w:rPr>
      </w:pPr>
      <w:r>
        <w:rPr>
          <w:rStyle w:val="58"/>
          <w:rFonts w:ascii="宋体" w:hAnsi="宋体"/>
        </w:rPr>
        <w:t>3.6.3投标文件应用不褪色的材料书写或打印，并由投标人的法定代表人（或其委托代理人）签字（或盖单位公章）。委托代理人签字的，投标文件应附法定代表人签署的授权委托书。投标文件应尽量避免涂改、行间插字或删除。如果出现上述情况，改动之处应加盖单位公章或由投标人的法定代表人或其授权的代理人签字确认。签字或盖章的具体要求见投标人须知前附表。</w:t>
      </w:r>
    </w:p>
    <w:p>
      <w:pPr>
        <w:spacing w:line="400" w:lineRule="exact"/>
        <w:ind w:firstLine="420" w:firstLineChars="200"/>
        <w:rPr>
          <w:rStyle w:val="58"/>
          <w:rFonts w:ascii="宋体" w:hAnsi="宋体"/>
        </w:rPr>
      </w:pPr>
      <w:r>
        <w:rPr>
          <w:rStyle w:val="58"/>
          <w:rFonts w:ascii="宋体" w:hAnsi="宋体"/>
        </w:rPr>
        <w:t>3.6.4投标文件正本一份,副本份数详见投标须知前附表，资格审查文件一份（不分正、副本，单独成册）。正本和副本的封面上应清楚地标记“正本”或“副本”的字样。当副本和正本不一致时，以正本为准。</w:t>
      </w:r>
    </w:p>
    <w:p>
      <w:pPr>
        <w:spacing w:line="400" w:lineRule="exact"/>
        <w:ind w:firstLine="420" w:firstLineChars="200"/>
        <w:rPr>
          <w:rStyle w:val="58"/>
          <w:rFonts w:ascii="宋体" w:hAnsi="宋体"/>
        </w:rPr>
      </w:pPr>
      <w:r>
        <w:rPr>
          <w:rStyle w:val="58"/>
          <w:rFonts w:ascii="宋体" w:hAnsi="宋体"/>
        </w:rPr>
        <w:t>3.6.5投标文件的正本与副本及资格审查文件应分别装订成册，并编制目录，具体装订要求见投标人须知前附表规定。</w:t>
      </w:r>
    </w:p>
    <w:p>
      <w:pPr>
        <w:pStyle w:val="7"/>
        <w:spacing w:before="0" w:after="0"/>
        <w:jc w:val="center"/>
        <w:rPr>
          <w:sz w:val="30"/>
          <w:szCs w:val="30"/>
        </w:rPr>
      </w:pPr>
      <w:bookmarkStart w:id="46" w:name="_Toc16063896"/>
      <w:bookmarkStart w:id="47" w:name="_Toc17817326"/>
      <w:bookmarkStart w:id="48" w:name="_Toc211261904"/>
      <w:bookmarkStart w:id="49" w:name="_Toc23160"/>
      <w:r>
        <w:rPr>
          <w:sz w:val="30"/>
          <w:szCs w:val="30"/>
        </w:rPr>
        <w:t>4. 投标</w:t>
      </w:r>
      <w:bookmarkEnd w:id="46"/>
      <w:bookmarkEnd w:id="47"/>
      <w:bookmarkEnd w:id="48"/>
      <w:bookmarkEnd w:id="49"/>
    </w:p>
    <w:p>
      <w:pPr>
        <w:pStyle w:val="62"/>
        <w:spacing w:before="0" w:after="0"/>
        <w:rPr>
          <w:rStyle w:val="58"/>
          <w:rFonts w:ascii="宋体" w:hAnsi="宋体"/>
        </w:rPr>
      </w:pPr>
      <w:r>
        <w:rPr>
          <w:rStyle w:val="58"/>
          <w:rFonts w:ascii="宋体" w:hAnsi="宋体"/>
          <w:sz w:val="24"/>
        </w:rPr>
        <w:t>4.1 投标文件的密封和标记</w:t>
      </w:r>
    </w:p>
    <w:p>
      <w:pPr>
        <w:spacing w:line="360" w:lineRule="auto"/>
        <w:ind w:firstLine="420" w:firstLineChars="200"/>
        <w:rPr>
          <w:rStyle w:val="58"/>
          <w:rFonts w:ascii="宋体" w:hAnsi="宋体"/>
        </w:rPr>
      </w:pPr>
      <w:r>
        <w:rPr>
          <w:rStyle w:val="58"/>
          <w:rFonts w:ascii="宋体" w:hAnsi="宋体"/>
        </w:rPr>
        <w:t>4.1.1除资格审查文件单独密封包装外，投标文件</w:t>
      </w:r>
      <w:r>
        <w:rPr>
          <w:rStyle w:val="58"/>
          <w:rFonts w:hint="eastAsia" w:ascii="宋体" w:hAnsi="宋体"/>
        </w:rPr>
        <w:t>商务标（正本+副本</w:t>
      </w:r>
      <w:r>
        <w:rPr>
          <w:rStyle w:val="58"/>
          <w:rFonts w:ascii="宋体" w:hAnsi="宋体"/>
        </w:rPr>
        <w:t>）、</w:t>
      </w:r>
      <w:r>
        <w:rPr>
          <w:rStyle w:val="58"/>
          <w:rFonts w:hint="eastAsia" w:ascii="宋体" w:hAnsi="宋体"/>
        </w:rPr>
        <w:t>技术标（正本+副本）</w:t>
      </w:r>
      <w:r>
        <w:rPr>
          <w:rStyle w:val="58"/>
          <w:rFonts w:ascii="宋体" w:hAnsi="宋体"/>
        </w:rPr>
        <w:t>分开密封包装，电子文档（内容包含全部投标文件）单独密封包装，唱标单单独密封包装。所有封套的每个封口处均应加盖投标人单位公章。</w:t>
      </w:r>
    </w:p>
    <w:p>
      <w:pPr>
        <w:spacing w:line="360" w:lineRule="auto"/>
        <w:ind w:firstLine="422" w:firstLineChars="200"/>
        <w:rPr>
          <w:b/>
          <w:bCs/>
        </w:rPr>
      </w:pPr>
      <w:r>
        <w:rPr>
          <w:rFonts w:hint="eastAsia"/>
          <w:b/>
          <w:bCs/>
        </w:rPr>
        <w:t>纸版投标文件和电子版投标文件必须保证内容一致，如确实存在不一致的，总报价以重汽</w:t>
      </w:r>
      <w:r>
        <w:rPr>
          <w:b/>
          <w:bCs/>
        </w:rPr>
        <w:t>E</w:t>
      </w:r>
      <w:r>
        <w:rPr>
          <w:rFonts w:hint="eastAsia"/>
          <w:b/>
          <w:bCs/>
        </w:rPr>
        <w:t>采通系统报出金额为准。同时要求投标方对纸版商务标书的错误一并做出修正（修正原则详见商务标评分细则），结算时按修正后的纸质商务标书为准。</w:t>
      </w:r>
    </w:p>
    <w:p>
      <w:pPr>
        <w:spacing w:line="360" w:lineRule="auto"/>
        <w:ind w:firstLine="420" w:firstLineChars="200"/>
        <w:rPr>
          <w:rStyle w:val="58"/>
          <w:rFonts w:ascii="宋体" w:hAnsi="宋体"/>
        </w:rPr>
      </w:pPr>
      <w:r>
        <w:rPr>
          <w:rStyle w:val="58"/>
          <w:rFonts w:ascii="宋体" w:hAnsi="宋体"/>
        </w:rPr>
        <w:t>4.1.2投标文件的封套上应清楚地标记“</w:t>
      </w:r>
      <w:r>
        <w:rPr>
          <w:rStyle w:val="58"/>
          <w:rFonts w:hint="eastAsia" w:ascii="宋体" w:hAnsi="宋体"/>
        </w:rPr>
        <w:t>商务标</w:t>
      </w:r>
      <w:r>
        <w:rPr>
          <w:rStyle w:val="58"/>
          <w:rFonts w:ascii="宋体" w:hAnsi="宋体"/>
        </w:rPr>
        <w:t>”或“</w:t>
      </w:r>
      <w:r>
        <w:rPr>
          <w:rStyle w:val="58"/>
          <w:rFonts w:hint="eastAsia" w:ascii="宋体" w:hAnsi="宋体"/>
        </w:rPr>
        <w:t>技术标</w:t>
      </w:r>
      <w:r>
        <w:rPr>
          <w:rStyle w:val="58"/>
          <w:rFonts w:ascii="宋体" w:hAnsi="宋体"/>
        </w:rPr>
        <w:t>”或“资格审查文件”或“唱标单”或“电子文档”等字样，封套上应写明的其他内容见投标人须知前附表。</w:t>
      </w:r>
    </w:p>
    <w:p>
      <w:pPr>
        <w:spacing w:line="360" w:lineRule="auto"/>
        <w:ind w:firstLine="422" w:firstLineChars="200"/>
        <w:rPr>
          <w:rStyle w:val="58"/>
          <w:rFonts w:ascii="宋体" w:hAnsi="宋体"/>
          <w:b/>
          <w:bCs/>
        </w:rPr>
      </w:pPr>
      <w:r>
        <w:rPr>
          <w:rStyle w:val="58"/>
          <w:rFonts w:ascii="宋体" w:hAnsi="宋体"/>
          <w:b/>
          <w:bCs/>
        </w:rPr>
        <w:t>4.1.3 未按本章第4.1.1项或第4.1.2项要求密封和加写标记的投标文件，招标人不予受理。</w:t>
      </w:r>
    </w:p>
    <w:p>
      <w:pPr>
        <w:pStyle w:val="62"/>
        <w:spacing w:before="0" w:after="0"/>
        <w:rPr>
          <w:rStyle w:val="58"/>
          <w:rFonts w:ascii="宋体" w:hAnsi="宋体"/>
          <w:sz w:val="24"/>
        </w:rPr>
      </w:pPr>
      <w:r>
        <w:rPr>
          <w:rStyle w:val="58"/>
          <w:rFonts w:ascii="宋体" w:hAnsi="宋体"/>
          <w:sz w:val="24"/>
        </w:rPr>
        <w:t>4.2 投标文件的递交</w:t>
      </w:r>
    </w:p>
    <w:p>
      <w:pPr>
        <w:spacing w:line="360" w:lineRule="auto"/>
        <w:ind w:firstLine="420" w:firstLineChars="200"/>
        <w:rPr>
          <w:rStyle w:val="58"/>
          <w:rFonts w:ascii="宋体" w:hAnsi="宋体"/>
        </w:rPr>
      </w:pPr>
      <w:r>
        <w:rPr>
          <w:rStyle w:val="58"/>
          <w:rFonts w:ascii="宋体" w:hAnsi="宋体"/>
        </w:rPr>
        <w:t>4.2.1 投标人应在本章</w:t>
      </w:r>
      <w:r>
        <w:rPr>
          <w:rStyle w:val="45"/>
          <w:rFonts w:ascii="宋体" w:hAnsi="宋体"/>
          <w:color w:val="auto"/>
          <w:sz w:val="21"/>
        </w:rPr>
        <w:t>第2.2.2项</w:t>
      </w:r>
      <w:r>
        <w:rPr>
          <w:rStyle w:val="58"/>
          <w:rFonts w:ascii="宋体" w:hAnsi="宋体"/>
        </w:rPr>
        <w:t>规定的投标截止时间前递交投标文件。</w:t>
      </w:r>
    </w:p>
    <w:p>
      <w:pPr>
        <w:spacing w:line="360" w:lineRule="auto"/>
        <w:ind w:firstLine="420" w:firstLineChars="200"/>
        <w:rPr>
          <w:rStyle w:val="58"/>
          <w:rFonts w:ascii="宋体" w:hAnsi="宋体"/>
        </w:rPr>
      </w:pPr>
      <w:r>
        <w:rPr>
          <w:rStyle w:val="58"/>
          <w:rFonts w:ascii="宋体" w:hAnsi="宋体"/>
        </w:rPr>
        <w:t>4.2.2 投标人递交投标文件的地点：见投标人须知前附表。</w:t>
      </w:r>
    </w:p>
    <w:p>
      <w:pPr>
        <w:spacing w:line="360" w:lineRule="auto"/>
        <w:ind w:firstLine="420" w:firstLineChars="200"/>
        <w:rPr>
          <w:rStyle w:val="58"/>
          <w:rFonts w:ascii="宋体" w:hAnsi="宋体"/>
        </w:rPr>
      </w:pPr>
      <w:r>
        <w:rPr>
          <w:rStyle w:val="58"/>
          <w:rFonts w:ascii="宋体" w:hAnsi="宋体"/>
        </w:rPr>
        <w:t>4.2.3 除投标人须知前附表另有规定外，投标人所递交的投标文件不予退还。</w:t>
      </w:r>
    </w:p>
    <w:p>
      <w:pPr>
        <w:spacing w:line="360" w:lineRule="auto"/>
        <w:ind w:firstLine="420" w:firstLineChars="200"/>
        <w:rPr>
          <w:rStyle w:val="58"/>
          <w:rFonts w:ascii="宋体" w:hAnsi="宋体"/>
        </w:rPr>
      </w:pPr>
      <w:r>
        <w:rPr>
          <w:rStyle w:val="58"/>
          <w:rFonts w:ascii="宋体" w:hAnsi="宋体"/>
        </w:rPr>
        <w:t>4.2.4 逾期送达的或者未送达指定地点的投标文件，招标人不予受理。</w:t>
      </w:r>
    </w:p>
    <w:p>
      <w:pPr>
        <w:pStyle w:val="62"/>
        <w:spacing w:before="0" w:after="0"/>
        <w:rPr>
          <w:rStyle w:val="58"/>
          <w:rFonts w:ascii="宋体" w:hAnsi="宋体"/>
          <w:sz w:val="24"/>
        </w:rPr>
      </w:pPr>
      <w:r>
        <w:rPr>
          <w:rStyle w:val="58"/>
          <w:rFonts w:ascii="宋体" w:hAnsi="宋体"/>
          <w:sz w:val="24"/>
        </w:rPr>
        <w:t>4.3 投标文件的修改与撤回</w:t>
      </w:r>
    </w:p>
    <w:p>
      <w:pPr>
        <w:spacing w:line="360" w:lineRule="auto"/>
        <w:ind w:firstLine="420" w:firstLineChars="200"/>
        <w:rPr>
          <w:rStyle w:val="58"/>
          <w:rFonts w:ascii="宋体" w:hAnsi="宋体"/>
        </w:rPr>
      </w:pPr>
      <w:r>
        <w:rPr>
          <w:rStyle w:val="58"/>
          <w:rFonts w:ascii="宋体" w:hAnsi="宋体"/>
        </w:rPr>
        <w:t>4.3.1 在本章</w:t>
      </w:r>
      <w:r>
        <w:rPr>
          <w:rStyle w:val="45"/>
          <w:rFonts w:ascii="宋体" w:hAnsi="宋体"/>
          <w:color w:val="auto"/>
          <w:sz w:val="21"/>
        </w:rPr>
        <w:t>第2.2.2项</w:t>
      </w:r>
      <w:r>
        <w:rPr>
          <w:rStyle w:val="58"/>
          <w:rFonts w:ascii="宋体" w:hAnsi="宋体"/>
        </w:rPr>
        <w:t>规定的投标截止时间前，投标人可以修改或撤回已递交的投标文件，但应以书面形式通知招标人。</w:t>
      </w:r>
    </w:p>
    <w:p>
      <w:pPr>
        <w:spacing w:line="360" w:lineRule="auto"/>
        <w:ind w:firstLine="420" w:firstLineChars="200"/>
        <w:rPr>
          <w:rStyle w:val="58"/>
          <w:rFonts w:ascii="宋体" w:hAnsi="宋体"/>
        </w:rPr>
      </w:pPr>
      <w:r>
        <w:rPr>
          <w:rStyle w:val="58"/>
          <w:rFonts w:ascii="宋体" w:hAnsi="宋体"/>
        </w:rPr>
        <w:t>4.3.2 投标人修改或撤回已递交投标文件的书面通知应按照本章</w:t>
      </w:r>
      <w:r>
        <w:rPr>
          <w:rStyle w:val="45"/>
          <w:rFonts w:ascii="宋体" w:hAnsi="宋体"/>
          <w:color w:val="auto"/>
          <w:sz w:val="21"/>
        </w:rPr>
        <w:t>第3.6.3项</w:t>
      </w:r>
      <w:r>
        <w:rPr>
          <w:rStyle w:val="58"/>
          <w:rFonts w:ascii="宋体" w:hAnsi="宋体"/>
        </w:rPr>
        <w:t>的要求签字或盖章。招标人收到书面通知后，向投标人出具签收凭证。</w:t>
      </w:r>
    </w:p>
    <w:p>
      <w:pPr>
        <w:spacing w:line="360" w:lineRule="auto"/>
        <w:ind w:firstLine="420" w:firstLineChars="200"/>
        <w:rPr>
          <w:rStyle w:val="58"/>
          <w:rFonts w:ascii="宋体" w:hAnsi="宋体"/>
        </w:rPr>
      </w:pPr>
      <w:r>
        <w:rPr>
          <w:rStyle w:val="58"/>
          <w:rFonts w:ascii="宋体" w:hAnsi="宋体"/>
        </w:rPr>
        <w:t>4.3.3 修改的内容为投标文件的组成部分。修改的投标文件应按照本章</w:t>
      </w:r>
      <w:r>
        <w:rPr>
          <w:rStyle w:val="45"/>
          <w:rFonts w:ascii="宋体" w:hAnsi="宋体"/>
          <w:color w:val="auto"/>
          <w:sz w:val="21"/>
        </w:rPr>
        <w:t>第3条</w:t>
      </w:r>
      <w:r>
        <w:rPr>
          <w:rStyle w:val="58"/>
          <w:rFonts w:ascii="宋体" w:hAnsi="宋体"/>
        </w:rPr>
        <w:t>、</w:t>
      </w:r>
      <w:r>
        <w:rPr>
          <w:rStyle w:val="45"/>
          <w:rFonts w:ascii="宋体" w:hAnsi="宋体"/>
          <w:color w:val="auto"/>
          <w:sz w:val="21"/>
        </w:rPr>
        <w:t>第4条</w:t>
      </w:r>
      <w:r>
        <w:rPr>
          <w:rStyle w:val="58"/>
          <w:rFonts w:ascii="宋体" w:hAnsi="宋体"/>
        </w:rPr>
        <w:t>规定进行编制、密封、标记和递交，并标明“修改”字样。</w:t>
      </w:r>
    </w:p>
    <w:p>
      <w:pPr>
        <w:pStyle w:val="7"/>
        <w:spacing w:before="0" w:after="0"/>
        <w:jc w:val="center"/>
        <w:rPr>
          <w:sz w:val="30"/>
          <w:szCs w:val="30"/>
        </w:rPr>
      </w:pPr>
      <w:bookmarkStart w:id="50" w:name="_Toc211261905"/>
      <w:bookmarkStart w:id="51" w:name="_Toc16063897"/>
      <w:bookmarkStart w:id="52" w:name="_Toc17817327"/>
      <w:bookmarkStart w:id="53" w:name="_Toc9815"/>
      <w:r>
        <w:rPr>
          <w:sz w:val="30"/>
          <w:szCs w:val="30"/>
        </w:rPr>
        <w:t>5. 开标</w:t>
      </w:r>
      <w:bookmarkEnd w:id="50"/>
      <w:bookmarkEnd w:id="51"/>
      <w:bookmarkEnd w:id="52"/>
      <w:bookmarkEnd w:id="53"/>
    </w:p>
    <w:p>
      <w:pPr>
        <w:pStyle w:val="62"/>
        <w:spacing w:before="0" w:after="0" w:line="360" w:lineRule="auto"/>
        <w:rPr>
          <w:rStyle w:val="58"/>
          <w:rFonts w:ascii="宋体" w:hAnsi="宋体"/>
          <w:sz w:val="24"/>
          <w:szCs w:val="24"/>
        </w:rPr>
      </w:pPr>
      <w:bookmarkStart w:id="54" w:name="_Toc630"/>
      <w:bookmarkStart w:id="55" w:name="_Toc17817328"/>
      <w:bookmarkStart w:id="56" w:name="_Toc16063898"/>
      <w:r>
        <w:rPr>
          <w:rStyle w:val="58"/>
          <w:rFonts w:ascii="宋体" w:hAnsi="宋体"/>
          <w:sz w:val="24"/>
          <w:szCs w:val="24"/>
        </w:rPr>
        <w:t>5.1 开标时间和地点</w:t>
      </w:r>
    </w:p>
    <w:p>
      <w:pPr>
        <w:spacing w:line="400" w:lineRule="exact"/>
        <w:ind w:firstLine="420" w:firstLineChars="200"/>
        <w:rPr>
          <w:rStyle w:val="58"/>
          <w:rFonts w:ascii="宋体" w:hAnsi="宋体"/>
        </w:rPr>
      </w:pPr>
      <w:r>
        <w:rPr>
          <w:rStyle w:val="58"/>
          <w:rFonts w:ascii="宋体" w:hAnsi="宋体"/>
        </w:rPr>
        <w:t>招标人在本章</w:t>
      </w:r>
      <w:r>
        <w:rPr>
          <w:rStyle w:val="45"/>
          <w:rFonts w:ascii="宋体" w:hAnsi="宋体"/>
          <w:color w:val="auto"/>
          <w:sz w:val="21"/>
        </w:rPr>
        <w:t>第2.2.2项</w:t>
      </w:r>
      <w:r>
        <w:rPr>
          <w:rStyle w:val="58"/>
          <w:rFonts w:ascii="宋体" w:hAnsi="宋体"/>
        </w:rPr>
        <w:t>规定的投标截止时间（开标时间）和投标人须知前附表规定的地点公开开标，并邀请所有投标人的法定代表人或其委托代理人准时参加。</w:t>
      </w:r>
    </w:p>
    <w:p>
      <w:pPr>
        <w:pStyle w:val="19"/>
        <w:adjustRightInd w:val="0"/>
        <w:snapToGrid w:val="0"/>
        <w:spacing w:before="72" w:after="50" w:line="460" w:lineRule="exact"/>
        <w:ind w:firstLine="422" w:firstLineChars="200"/>
        <w:rPr>
          <w:rStyle w:val="58"/>
          <w:rFonts w:ascii="宋体" w:hAnsi="宋体" w:eastAsia="宋体"/>
          <w:b/>
          <w:bCs/>
          <w:i/>
          <w:iCs/>
          <w:color w:val="FF0000"/>
          <w:sz w:val="21"/>
          <w:szCs w:val="24"/>
          <w:u w:val="single"/>
        </w:rPr>
      </w:pPr>
      <w:r>
        <w:rPr>
          <w:rStyle w:val="58"/>
          <w:rFonts w:hint="eastAsia" w:ascii="宋体" w:hAnsi="宋体" w:eastAsia="宋体"/>
          <w:b/>
          <w:bCs/>
          <w:sz w:val="21"/>
          <w:szCs w:val="24"/>
        </w:rPr>
        <w:t>本次招标的开标、评标由招标人依法组织实施，通过资格审查后，采用技术标和商务标同时开标、分阶段评标的模式。首先进行技术标评审，由评标专家组对所有投标方的技术标部分综合评定和打分，确定进入商务标评比资格的投标方（技术标评分不带入商务标）。然后进行商务标的评标，招标人有权根据项目情况，采取多轮报价模式，最终根据商务标的报价确定各投标人排序，原则上按照评标合理最低价确定推荐中标人（不保证最低价格中标）。</w:t>
      </w:r>
    </w:p>
    <w:p>
      <w:pPr>
        <w:spacing w:line="360" w:lineRule="auto"/>
        <w:ind w:firstLine="422" w:firstLineChars="200"/>
      </w:pPr>
      <w:r>
        <w:rPr>
          <w:rStyle w:val="58"/>
          <w:rFonts w:hint="eastAsia" w:ascii="宋体" w:hAnsi="宋体"/>
          <w:b/>
          <w:bCs/>
        </w:rPr>
        <w:t>开标形式：现场和重汽e采通同时开标。</w:t>
      </w:r>
      <w:r>
        <w:rPr>
          <w:rStyle w:val="58"/>
          <w:rFonts w:hint="eastAsia" w:hAnsi="宋体"/>
          <w:b/>
          <w:bCs/>
          <w:szCs w:val="22"/>
          <w:highlight w:val="yellow"/>
          <w:u w:val="single"/>
        </w:rPr>
        <w:t>（所有澄清及报价均需要在线上操作，请自行准备电脑等设备）</w:t>
      </w:r>
    </w:p>
    <w:p>
      <w:pPr>
        <w:pStyle w:val="62"/>
        <w:spacing w:before="0" w:after="0"/>
        <w:rPr>
          <w:rStyle w:val="58"/>
          <w:rFonts w:ascii="宋体" w:hAnsi="宋体"/>
          <w:sz w:val="24"/>
        </w:rPr>
      </w:pPr>
      <w:r>
        <w:rPr>
          <w:rStyle w:val="58"/>
          <w:rFonts w:ascii="宋体" w:hAnsi="宋体"/>
          <w:sz w:val="24"/>
        </w:rPr>
        <w:t>5.2 开</w:t>
      </w:r>
      <w:r>
        <w:rPr>
          <w:rStyle w:val="58"/>
          <w:rFonts w:hint="eastAsia" w:ascii="宋体" w:hAnsi="宋体"/>
          <w:sz w:val="24"/>
        </w:rPr>
        <w:t>、评</w:t>
      </w:r>
      <w:r>
        <w:rPr>
          <w:rStyle w:val="58"/>
          <w:rFonts w:ascii="宋体" w:hAnsi="宋体"/>
          <w:sz w:val="24"/>
        </w:rPr>
        <w:t>标程序</w:t>
      </w:r>
    </w:p>
    <w:p>
      <w:pPr>
        <w:spacing w:line="400" w:lineRule="exact"/>
        <w:ind w:firstLine="420" w:firstLineChars="200"/>
        <w:rPr>
          <w:rStyle w:val="58"/>
          <w:rFonts w:ascii="宋体" w:hAnsi="宋体"/>
          <w:szCs w:val="22"/>
        </w:rPr>
      </w:pPr>
      <w:r>
        <w:rPr>
          <w:rStyle w:val="58"/>
          <w:rFonts w:hint="eastAsia" w:ascii="宋体" w:hAnsi="宋体"/>
          <w:szCs w:val="22"/>
        </w:rPr>
        <w:t>（1）投标截止时间前准时进入开标现场，登录重汽e采通按最新版《SRM-系统用户手册-非生产招投标（供应商使用）》，并按顺序进行操作，迟到按弃标处理。</w:t>
      </w:r>
    </w:p>
    <w:p>
      <w:pPr>
        <w:spacing w:line="400" w:lineRule="exact"/>
        <w:ind w:firstLine="420" w:firstLineChars="200"/>
        <w:rPr>
          <w:rStyle w:val="58"/>
          <w:rFonts w:ascii="宋体" w:hAnsi="宋体"/>
          <w:szCs w:val="22"/>
        </w:rPr>
      </w:pPr>
      <w:r>
        <w:rPr>
          <w:rStyle w:val="58"/>
          <w:rFonts w:hint="eastAsia" w:ascii="宋体" w:hAnsi="宋体"/>
          <w:szCs w:val="22"/>
        </w:rPr>
        <w:t>（2）宣读开标纪律；</w:t>
      </w:r>
    </w:p>
    <w:p>
      <w:pPr>
        <w:spacing w:line="400" w:lineRule="exact"/>
        <w:ind w:firstLine="420" w:firstLineChars="200"/>
        <w:rPr>
          <w:rStyle w:val="58"/>
          <w:rFonts w:ascii="宋体" w:hAnsi="宋体"/>
          <w:szCs w:val="22"/>
        </w:rPr>
      </w:pPr>
      <w:r>
        <w:rPr>
          <w:rStyle w:val="58"/>
          <w:rFonts w:hint="eastAsia" w:ascii="宋体" w:hAnsi="宋体"/>
          <w:szCs w:val="22"/>
        </w:rPr>
        <w:t>（3）公布在投标截止时间前递交投标文件的投标人名称，并点名确认投标人的法定代表人或其委托代理人是否到场；</w:t>
      </w:r>
    </w:p>
    <w:p>
      <w:pPr>
        <w:spacing w:line="400" w:lineRule="exact"/>
        <w:ind w:firstLine="420" w:firstLineChars="200"/>
        <w:rPr>
          <w:rStyle w:val="58"/>
          <w:rFonts w:ascii="宋体" w:hAnsi="宋体"/>
          <w:szCs w:val="22"/>
        </w:rPr>
      </w:pPr>
      <w:r>
        <w:rPr>
          <w:rStyle w:val="58"/>
          <w:rFonts w:hint="eastAsia" w:ascii="宋体" w:hAnsi="宋体"/>
          <w:szCs w:val="22"/>
        </w:rPr>
        <w:t>（4）宣布招标人、唱标人等有关单位；</w:t>
      </w:r>
    </w:p>
    <w:p>
      <w:pPr>
        <w:spacing w:line="400" w:lineRule="exact"/>
        <w:ind w:firstLine="420" w:firstLineChars="200"/>
        <w:rPr>
          <w:rStyle w:val="58"/>
          <w:rFonts w:ascii="宋体" w:hAnsi="宋体"/>
          <w:szCs w:val="22"/>
        </w:rPr>
      </w:pPr>
      <w:r>
        <w:rPr>
          <w:rStyle w:val="58"/>
          <w:rFonts w:hint="eastAsia" w:ascii="宋体" w:hAnsi="宋体"/>
          <w:szCs w:val="22"/>
        </w:rPr>
        <w:t>（5）由招标人核验投标单位的相关证件，并宣布核验结果；</w:t>
      </w:r>
    </w:p>
    <w:p>
      <w:pPr>
        <w:spacing w:line="400" w:lineRule="exact"/>
        <w:ind w:firstLine="420" w:firstLineChars="200"/>
        <w:rPr>
          <w:rStyle w:val="58"/>
          <w:rFonts w:ascii="宋体" w:hAnsi="宋体"/>
          <w:szCs w:val="22"/>
        </w:rPr>
      </w:pPr>
      <w:r>
        <w:rPr>
          <w:rStyle w:val="58"/>
          <w:rFonts w:hint="eastAsia" w:ascii="宋体" w:hAnsi="宋体"/>
          <w:szCs w:val="22"/>
        </w:rPr>
        <w:t>（6）由招标人代表或投标人推选的代表检查投标文件的密封情况并予以确认；</w:t>
      </w:r>
    </w:p>
    <w:p>
      <w:pPr>
        <w:spacing w:line="400" w:lineRule="exact"/>
        <w:ind w:firstLine="420" w:firstLineChars="200"/>
        <w:rPr>
          <w:rStyle w:val="58"/>
          <w:rFonts w:ascii="宋体" w:hAnsi="宋体"/>
          <w:szCs w:val="22"/>
        </w:rPr>
      </w:pPr>
      <w:r>
        <w:rPr>
          <w:rStyle w:val="58"/>
          <w:rFonts w:hint="eastAsia" w:ascii="宋体" w:hAnsi="宋体"/>
          <w:szCs w:val="22"/>
        </w:rPr>
        <w:t>（7）按照宣布的开标顺序当众开标，公布投标人名称、项目名称、投标报价、质量目标、工期及其他内容，并记录在案；</w:t>
      </w:r>
    </w:p>
    <w:p>
      <w:pPr>
        <w:spacing w:line="400" w:lineRule="exact"/>
        <w:ind w:firstLine="420" w:firstLineChars="200"/>
        <w:rPr>
          <w:rStyle w:val="58"/>
          <w:rFonts w:ascii="宋体" w:hAnsi="宋体"/>
          <w:szCs w:val="22"/>
        </w:rPr>
      </w:pPr>
      <w:r>
        <w:rPr>
          <w:rStyle w:val="58"/>
          <w:rFonts w:hint="eastAsia" w:ascii="宋体" w:hAnsi="宋体"/>
          <w:szCs w:val="22"/>
        </w:rPr>
        <w:t>（8）对本次开标存在异议的投标单位，请现场提出，否则事后不予受理；</w:t>
      </w:r>
    </w:p>
    <w:p>
      <w:pPr>
        <w:spacing w:line="400" w:lineRule="exact"/>
        <w:ind w:firstLine="420" w:firstLineChars="200"/>
        <w:rPr>
          <w:rStyle w:val="58"/>
          <w:rFonts w:ascii="宋体" w:hAnsi="宋体"/>
          <w:szCs w:val="22"/>
        </w:rPr>
      </w:pPr>
      <w:r>
        <w:rPr>
          <w:rStyle w:val="58"/>
          <w:rFonts w:hint="eastAsia" w:ascii="宋体" w:hAnsi="宋体"/>
          <w:szCs w:val="22"/>
        </w:rPr>
        <w:t>（9）招标人、唱标人、监督人、投标人授权代表应对《开标记录》全部内容进行签字确认；</w:t>
      </w:r>
    </w:p>
    <w:p>
      <w:pPr>
        <w:spacing w:line="400" w:lineRule="exact"/>
        <w:ind w:firstLine="420" w:firstLineChars="200"/>
        <w:rPr>
          <w:rStyle w:val="58"/>
          <w:rFonts w:ascii="宋体" w:hAnsi="宋体"/>
          <w:szCs w:val="22"/>
        </w:rPr>
      </w:pPr>
      <w:r>
        <w:rPr>
          <w:rStyle w:val="58"/>
          <w:rFonts w:hint="eastAsia" w:ascii="宋体" w:hAnsi="宋体"/>
          <w:szCs w:val="22"/>
        </w:rPr>
        <w:t>（10）开标会结束，投标人退场，进入评审阶段。</w:t>
      </w:r>
    </w:p>
    <w:p>
      <w:pPr>
        <w:spacing w:line="400" w:lineRule="exact"/>
        <w:ind w:firstLine="420" w:firstLineChars="200"/>
        <w:rPr>
          <w:rStyle w:val="58"/>
          <w:rFonts w:ascii="宋体" w:hAnsi="宋体"/>
          <w:szCs w:val="22"/>
        </w:rPr>
      </w:pPr>
      <w:r>
        <w:rPr>
          <w:rStyle w:val="58"/>
          <w:rFonts w:hint="eastAsia" w:ascii="宋体" w:hAnsi="宋体"/>
          <w:szCs w:val="22"/>
        </w:rPr>
        <w:t>（11）进入技术标评审环节，专家组根据评标办法对技术标进行评分，需要技术澄清的，通过重汽e采通递交澄清材料；同时，</w:t>
      </w:r>
      <w:r>
        <w:rPr>
          <w:rStyle w:val="58"/>
          <w:rFonts w:hint="eastAsia" w:ascii="宋体" w:hAnsi="宋体"/>
          <w:b/>
          <w:bCs/>
          <w:szCs w:val="22"/>
          <w:u w:val="single"/>
        </w:rPr>
        <w:t>招标人将在技术标评审环节组织商务标清标工作，识别出各投标单位的不平衡报价及其他不合理项，投标单位据之纠正澄清，并同步修正开标总价；修正完成，并经招标人审核后方可开商务标；修正后的总价不得突破投标价、并作为开标后第一轮报价及后续调价基准。</w:t>
      </w:r>
      <w:r>
        <w:rPr>
          <w:rStyle w:val="58"/>
          <w:rFonts w:hint="eastAsia" w:ascii="宋体" w:hAnsi="宋体"/>
          <w:szCs w:val="22"/>
        </w:rPr>
        <w:t>技术标评审结束后，专家组推荐入围商务标厂家，通过技术标评审的投标单位进入商务标评审，技术标评分不带入商务标。</w:t>
      </w:r>
    </w:p>
    <w:p>
      <w:pPr>
        <w:spacing w:line="400" w:lineRule="exact"/>
        <w:ind w:firstLine="420" w:firstLineChars="200"/>
        <w:rPr>
          <w:rStyle w:val="58"/>
          <w:rFonts w:ascii="宋体" w:hAnsi="宋体"/>
          <w:szCs w:val="22"/>
        </w:rPr>
      </w:pPr>
      <w:r>
        <w:rPr>
          <w:rStyle w:val="58"/>
          <w:rFonts w:hint="eastAsia" w:ascii="宋体" w:hAnsi="宋体"/>
          <w:szCs w:val="22"/>
        </w:rPr>
        <w:t>（12）商务标采用多轮报价，除开标唱标为公开报价方式外，后续多轮澄清报价均为非公开的方式，在重汽e采通进行提报。</w:t>
      </w:r>
      <w:r>
        <w:rPr>
          <w:rStyle w:val="58"/>
          <w:rFonts w:hint="eastAsia" w:ascii="宋体" w:hAnsi="宋体"/>
          <w:b/>
          <w:bCs/>
          <w:szCs w:val="22"/>
          <w:u w:val="single"/>
        </w:rPr>
        <w:t>商务标开标后，投标单位需在第一轮报价时，将修正后的报价清单上传至重汽E采通，并与开标后第一轮报价金额一致；</w:t>
      </w:r>
      <w:bookmarkStart w:id="57" w:name="_Hlk182473828"/>
      <w:r>
        <w:rPr>
          <w:rStyle w:val="58"/>
          <w:rFonts w:hint="eastAsia" w:ascii="宋体" w:hAnsi="宋体"/>
          <w:b/>
          <w:bCs/>
          <w:szCs w:val="22"/>
          <w:u w:val="single"/>
        </w:rPr>
        <w:t>后续报价只上传每轮报价总金额，合同清单部分的价格结算时按照承包人开标修正后的已标价工程量清单价格乘下浮系数（商务标最后一轮澄清含税总报价/开标清标修正后的含税总报价）执行。单独澄清的清单项除外。</w:t>
      </w:r>
      <w:bookmarkEnd w:id="57"/>
    </w:p>
    <w:p>
      <w:pPr>
        <w:spacing w:line="400" w:lineRule="exact"/>
        <w:ind w:firstLine="422" w:firstLineChars="200"/>
        <w:rPr>
          <w:rStyle w:val="58"/>
          <w:rFonts w:ascii="宋体" w:hAnsi="宋体"/>
          <w:b/>
          <w:bCs/>
          <w:szCs w:val="22"/>
          <w:em w:val="dot"/>
        </w:rPr>
      </w:pPr>
      <w:r>
        <w:rPr>
          <w:rStyle w:val="58"/>
          <w:rFonts w:hint="eastAsia" w:ascii="宋体" w:hAnsi="宋体"/>
          <w:b/>
          <w:bCs/>
          <w:szCs w:val="22"/>
          <w:em w:val="dot"/>
        </w:rPr>
        <w:t>注意：每一轮在重汽e采通提供澄清报价均有时间限制，未能在规定时间内提交澄清函及报价的视为放弃本次投标。</w:t>
      </w:r>
    </w:p>
    <w:p>
      <w:pPr>
        <w:spacing w:line="400" w:lineRule="exact"/>
        <w:ind w:firstLine="420" w:firstLineChars="200"/>
        <w:rPr>
          <w:rStyle w:val="58"/>
          <w:rFonts w:ascii="宋体" w:hAnsi="宋体"/>
          <w:szCs w:val="22"/>
        </w:rPr>
      </w:pPr>
      <w:r>
        <w:rPr>
          <w:rStyle w:val="58"/>
          <w:rFonts w:hint="eastAsia" w:ascii="宋体" w:hAnsi="宋体"/>
          <w:szCs w:val="22"/>
        </w:rPr>
        <w:t>（13）原则上按照评标合理最低价确定推荐中标人（不保证最低价格中标），对未中标单位不做任何解释。</w:t>
      </w:r>
    </w:p>
    <w:p>
      <w:pPr>
        <w:spacing w:line="400" w:lineRule="exact"/>
        <w:ind w:firstLine="420" w:firstLineChars="200"/>
      </w:pPr>
      <w:r>
        <w:rPr>
          <w:rStyle w:val="58"/>
          <w:rFonts w:hint="eastAsia" w:ascii="宋体" w:hAnsi="宋体"/>
          <w:szCs w:val="22"/>
        </w:rPr>
        <w:t>以上步骤全部结束后，本次招标过程全部结束。</w:t>
      </w:r>
    </w:p>
    <w:p>
      <w:pPr>
        <w:spacing w:line="400" w:lineRule="exact"/>
        <w:ind w:firstLine="420" w:firstLineChars="200"/>
        <w:rPr>
          <w:rStyle w:val="58"/>
          <w:rFonts w:ascii="宋体" w:hAnsi="宋体"/>
          <w:szCs w:val="22"/>
        </w:rPr>
      </w:pPr>
      <w:r>
        <w:rPr>
          <w:rStyle w:val="58"/>
          <w:rFonts w:hint="eastAsia" w:ascii="宋体" w:hAnsi="宋体"/>
          <w:szCs w:val="22"/>
        </w:rPr>
        <w:t>投标前请各投标方按照招标文件要求对项目方案进行充分准备，投标单位已默认认可上述开标、评标过程，无异议。招标人无义务对未入围投标方及未中标方做任何解释。</w:t>
      </w:r>
    </w:p>
    <w:p>
      <w:pPr>
        <w:pStyle w:val="62"/>
        <w:spacing w:before="0" w:after="0"/>
        <w:rPr>
          <w:rStyle w:val="58"/>
          <w:rFonts w:ascii="宋体" w:hAnsi="宋体"/>
          <w:sz w:val="24"/>
        </w:rPr>
      </w:pPr>
      <w:r>
        <w:rPr>
          <w:rStyle w:val="58"/>
          <w:rFonts w:hint="eastAsia" w:ascii="宋体" w:hAnsi="宋体"/>
          <w:sz w:val="24"/>
        </w:rPr>
        <w:t>5</w:t>
      </w:r>
      <w:r>
        <w:rPr>
          <w:rStyle w:val="58"/>
          <w:rFonts w:ascii="宋体" w:hAnsi="宋体"/>
          <w:sz w:val="24"/>
        </w:rPr>
        <w:t xml:space="preserve">.3 </w:t>
      </w:r>
      <w:r>
        <w:rPr>
          <w:rStyle w:val="58"/>
          <w:rFonts w:hint="eastAsia" w:ascii="宋体" w:hAnsi="宋体"/>
          <w:sz w:val="24"/>
        </w:rPr>
        <w:t>其他说明</w:t>
      </w:r>
    </w:p>
    <w:p>
      <w:pPr>
        <w:spacing w:line="400" w:lineRule="exact"/>
        <w:ind w:firstLine="420" w:firstLineChars="200"/>
        <w:rPr>
          <w:rStyle w:val="58"/>
          <w:szCs w:val="22"/>
        </w:rPr>
      </w:pPr>
      <w:r>
        <w:rPr>
          <w:rStyle w:val="58"/>
          <w:rFonts w:hint="eastAsia" w:ascii="宋体" w:hAnsi="宋体"/>
          <w:szCs w:val="22"/>
        </w:rPr>
        <w:t>1.</w:t>
      </w:r>
      <w:r>
        <w:rPr>
          <w:rStyle w:val="58"/>
          <w:rFonts w:hint="eastAsia" w:ascii="宋体" w:hAnsi="宋体"/>
          <w:b/>
          <w:bCs/>
          <w:szCs w:val="22"/>
          <w:em w:val="dot"/>
        </w:rPr>
        <w:t>技术标根据评分办法进行打分，技术标评标小组推荐至少</w:t>
      </w:r>
      <w:r>
        <w:rPr>
          <w:rStyle w:val="58"/>
          <w:rFonts w:ascii="宋体" w:hAnsi="宋体"/>
          <w:b/>
          <w:bCs/>
          <w:szCs w:val="22"/>
          <w:em w:val="dot"/>
        </w:rPr>
        <w:t>3家技术得分70</w:t>
      </w:r>
      <w:r>
        <w:rPr>
          <w:rStyle w:val="58"/>
          <w:rFonts w:hint="eastAsia" w:ascii="宋体" w:hAnsi="宋体"/>
          <w:b/>
          <w:bCs/>
          <w:szCs w:val="22"/>
          <w:em w:val="dot"/>
        </w:rPr>
        <w:t>分（含）以上的投标人进入商务标。</w:t>
      </w:r>
      <w:r>
        <w:rPr>
          <w:rStyle w:val="58"/>
          <w:rFonts w:hint="eastAsia"/>
          <w:szCs w:val="22"/>
        </w:rPr>
        <w:t>技术入围投标人不足三家时，本次按废标处理，招标人有权根据招标采购管理流程重新组织招标。</w:t>
      </w:r>
    </w:p>
    <w:p>
      <w:pPr>
        <w:spacing w:line="400" w:lineRule="exact"/>
        <w:ind w:firstLine="420" w:firstLineChars="200"/>
        <w:rPr>
          <w:rStyle w:val="58"/>
          <w:szCs w:val="22"/>
        </w:rPr>
      </w:pPr>
      <w:r>
        <w:rPr>
          <w:rStyle w:val="58"/>
          <w:rFonts w:hint="eastAsia"/>
          <w:szCs w:val="22"/>
        </w:rPr>
        <w:t>2.技术标完成后须统一入围供方技术标准水平、明确重要技术参数、同水平品牌（不得指定）。如因变更、完善技术配置，需更改商务报价，技术标专家组同入围供方统一确定商务标开标时间。</w:t>
      </w:r>
    </w:p>
    <w:p>
      <w:pPr>
        <w:spacing w:line="400" w:lineRule="exact"/>
        <w:ind w:firstLine="420" w:firstLineChars="200"/>
        <w:rPr>
          <w:rStyle w:val="58"/>
          <w:szCs w:val="22"/>
        </w:rPr>
      </w:pPr>
      <w:r>
        <w:rPr>
          <w:rStyle w:val="58"/>
          <w:rFonts w:hint="eastAsia"/>
          <w:szCs w:val="22"/>
        </w:rPr>
        <w:t>3.商务标专家组与技术入围的有效投标人在其开标报价及清标修正总价的基础上开展至少3轮商务竞价，确定推荐中标人。原则上按照合理最低价选择中标人，但是明显低于成本的除外。</w:t>
      </w:r>
    </w:p>
    <w:p>
      <w:pPr>
        <w:pStyle w:val="4"/>
        <w:ind w:left="420"/>
      </w:pPr>
    </w:p>
    <w:p>
      <w:pPr>
        <w:pStyle w:val="7"/>
        <w:spacing w:before="0" w:after="0"/>
        <w:jc w:val="center"/>
        <w:rPr>
          <w:sz w:val="30"/>
          <w:szCs w:val="30"/>
        </w:rPr>
      </w:pPr>
      <w:bookmarkStart w:id="58" w:name="_Toc211261906"/>
      <w:r>
        <w:rPr>
          <w:sz w:val="30"/>
          <w:szCs w:val="30"/>
        </w:rPr>
        <w:t>6. 评标</w:t>
      </w:r>
      <w:bookmarkEnd w:id="54"/>
      <w:bookmarkEnd w:id="55"/>
      <w:bookmarkEnd w:id="56"/>
      <w:bookmarkEnd w:id="58"/>
    </w:p>
    <w:p>
      <w:pPr>
        <w:pStyle w:val="62"/>
        <w:spacing w:before="0" w:after="0"/>
        <w:rPr>
          <w:rStyle w:val="58"/>
          <w:rFonts w:ascii="宋体" w:hAnsi="宋体"/>
          <w:sz w:val="24"/>
        </w:rPr>
      </w:pPr>
      <w:r>
        <w:rPr>
          <w:rStyle w:val="58"/>
          <w:rFonts w:ascii="宋体" w:hAnsi="宋体"/>
          <w:sz w:val="24"/>
        </w:rPr>
        <w:t>6.1 评标委员会</w:t>
      </w:r>
    </w:p>
    <w:p>
      <w:pPr>
        <w:spacing w:line="360" w:lineRule="auto"/>
        <w:ind w:firstLine="420" w:firstLineChars="200"/>
        <w:rPr>
          <w:rStyle w:val="58"/>
          <w:rFonts w:ascii="宋体" w:hAnsi="宋体"/>
        </w:rPr>
      </w:pPr>
      <w:r>
        <w:rPr>
          <w:rStyle w:val="58"/>
          <w:rFonts w:ascii="宋体" w:hAnsi="宋体"/>
        </w:rPr>
        <w:t>6.1.1 评标由招标人依法组建的评标委员会负责。评标委员会由招标人或其委托的招标代理机构熟悉相关业务的代表，以及有关技术、经济等方面的专家组成。评标委员会成员人数以及技术、经济等方面专家的确定方式见投标人须知前附表。</w:t>
      </w:r>
    </w:p>
    <w:p>
      <w:pPr>
        <w:spacing w:line="360" w:lineRule="auto"/>
        <w:ind w:firstLine="420" w:firstLineChars="200"/>
        <w:rPr>
          <w:rStyle w:val="58"/>
          <w:rFonts w:ascii="宋体" w:hAnsi="宋体"/>
        </w:rPr>
      </w:pPr>
      <w:r>
        <w:rPr>
          <w:rStyle w:val="58"/>
          <w:rFonts w:ascii="宋体" w:hAnsi="宋体"/>
        </w:rPr>
        <w:t>6.1.2 评标委员会成员有下列情形之一的，应当回避：</w:t>
      </w:r>
    </w:p>
    <w:p>
      <w:pPr>
        <w:spacing w:line="360" w:lineRule="auto"/>
        <w:ind w:firstLine="718" w:firstLineChars="342"/>
        <w:rPr>
          <w:rStyle w:val="58"/>
          <w:rFonts w:ascii="宋体" w:hAnsi="宋体"/>
        </w:rPr>
      </w:pPr>
      <w:r>
        <w:rPr>
          <w:rStyle w:val="58"/>
          <w:rFonts w:ascii="宋体" w:hAnsi="宋体"/>
        </w:rPr>
        <w:t>（1）招标人或投标人的主要负责人的近亲属；</w:t>
      </w:r>
    </w:p>
    <w:p>
      <w:pPr>
        <w:spacing w:line="360" w:lineRule="auto"/>
        <w:ind w:firstLine="718" w:firstLineChars="342"/>
        <w:rPr>
          <w:rStyle w:val="58"/>
          <w:rFonts w:ascii="宋体" w:hAnsi="宋体"/>
        </w:rPr>
      </w:pPr>
      <w:r>
        <w:rPr>
          <w:rStyle w:val="58"/>
          <w:rFonts w:ascii="宋体" w:hAnsi="宋体"/>
        </w:rPr>
        <w:t>（2）项目主管部门或者行政监督部门的人员；</w:t>
      </w:r>
    </w:p>
    <w:p>
      <w:pPr>
        <w:spacing w:line="360" w:lineRule="auto"/>
        <w:ind w:firstLine="718" w:firstLineChars="342"/>
        <w:rPr>
          <w:rStyle w:val="58"/>
          <w:rFonts w:ascii="宋体" w:hAnsi="宋体"/>
        </w:rPr>
      </w:pPr>
      <w:r>
        <w:rPr>
          <w:rStyle w:val="58"/>
          <w:rFonts w:ascii="宋体" w:hAnsi="宋体"/>
        </w:rPr>
        <w:t>（3）与投标人有经济利益关系，可能影响对投标公正评审的；</w:t>
      </w:r>
    </w:p>
    <w:p>
      <w:pPr>
        <w:spacing w:line="360" w:lineRule="auto"/>
        <w:ind w:firstLine="718" w:firstLineChars="342"/>
        <w:rPr>
          <w:rStyle w:val="58"/>
          <w:rFonts w:ascii="宋体" w:hAnsi="宋体"/>
        </w:rPr>
      </w:pPr>
      <w:r>
        <w:rPr>
          <w:rStyle w:val="58"/>
          <w:rFonts w:ascii="宋体" w:hAnsi="宋体"/>
        </w:rPr>
        <w:t>（4）曾因在招标、评标及其他与招标投标有关活动中从事违法行为而受过行政处罚或刑事处罚的。</w:t>
      </w:r>
    </w:p>
    <w:p>
      <w:pPr>
        <w:pStyle w:val="62"/>
        <w:spacing w:before="0" w:after="0"/>
        <w:rPr>
          <w:rStyle w:val="58"/>
          <w:rFonts w:ascii="宋体" w:hAnsi="宋体"/>
        </w:rPr>
      </w:pPr>
      <w:r>
        <w:rPr>
          <w:rStyle w:val="58"/>
          <w:rFonts w:ascii="宋体" w:hAnsi="宋体"/>
          <w:sz w:val="24"/>
        </w:rPr>
        <w:t>6.2 评标原则</w:t>
      </w:r>
      <w:r>
        <w:rPr>
          <w:rStyle w:val="58"/>
          <w:rFonts w:ascii="宋体" w:hAnsi="宋体"/>
        </w:rPr>
        <w:tab/>
      </w:r>
    </w:p>
    <w:p>
      <w:pPr>
        <w:spacing w:line="360" w:lineRule="auto"/>
        <w:ind w:firstLine="420" w:firstLineChars="200"/>
        <w:rPr>
          <w:rStyle w:val="58"/>
          <w:rFonts w:ascii="宋体" w:hAnsi="宋体"/>
        </w:rPr>
      </w:pPr>
      <w:r>
        <w:rPr>
          <w:rStyle w:val="58"/>
          <w:rFonts w:ascii="宋体" w:hAnsi="宋体"/>
        </w:rPr>
        <w:t>评标活动遵循公平、公正、科学和择优的原则。</w:t>
      </w:r>
    </w:p>
    <w:p>
      <w:pPr>
        <w:pStyle w:val="62"/>
        <w:spacing w:before="0" w:after="0"/>
        <w:rPr>
          <w:rStyle w:val="58"/>
          <w:rFonts w:ascii="宋体" w:hAnsi="宋体"/>
          <w:sz w:val="24"/>
        </w:rPr>
      </w:pPr>
      <w:r>
        <w:rPr>
          <w:rStyle w:val="58"/>
          <w:rFonts w:ascii="宋体" w:hAnsi="宋体"/>
          <w:sz w:val="24"/>
        </w:rPr>
        <w:t>6.3 评标</w:t>
      </w:r>
    </w:p>
    <w:p>
      <w:pPr>
        <w:spacing w:line="360" w:lineRule="auto"/>
        <w:ind w:firstLine="420" w:firstLineChars="200"/>
        <w:rPr>
          <w:rStyle w:val="58"/>
          <w:rFonts w:ascii="宋体" w:hAnsi="宋体"/>
        </w:rPr>
      </w:pPr>
      <w:r>
        <w:rPr>
          <w:rStyle w:val="58"/>
          <w:rFonts w:ascii="宋体" w:hAnsi="宋体"/>
        </w:rPr>
        <w:t>评标委员会按照第三章“评标办法”规定的方法、评审因素、标准和程序对投标文件进行评审。第三章“评标办法”没有规定的方法、评审因素和标准，不作为评标依据。</w:t>
      </w:r>
    </w:p>
    <w:p>
      <w:pPr>
        <w:pStyle w:val="7"/>
        <w:spacing w:before="0" w:after="0"/>
        <w:jc w:val="center"/>
        <w:rPr>
          <w:sz w:val="30"/>
          <w:szCs w:val="30"/>
        </w:rPr>
      </w:pPr>
      <w:bookmarkStart w:id="59" w:name="_Toc17817329"/>
      <w:bookmarkStart w:id="60" w:name="_Toc211261907"/>
      <w:bookmarkStart w:id="61" w:name="_Toc16063899"/>
      <w:bookmarkStart w:id="62" w:name="_Toc31317"/>
      <w:r>
        <w:rPr>
          <w:sz w:val="30"/>
          <w:szCs w:val="30"/>
        </w:rPr>
        <w:t>7. 合同授予</w:t>
      </w:r>
      <w:bookmarkEnd w:id="59"/>
      <w:bookmarkEnd w:id="60"/>
      <w:bookmarkEnd w:id="61"/>
      <w:bookmarkEnd w:id="62"/>
    </w:p>
    <w:p>
      <w:pPr>
        <w:pStyle w:val="62"/>
        <w:spacing w:before="0" w:after="0"/>
        <w:rPr>
          <w:rStyle w:val="58"/>
          <w:rFonts w:ascii="宋体" w:hAnsi="宋体"/>
          <w:sz w:val="24"/>
        </w:rPr>
      </w:pPr>
      <w:r>
        <w:rPr>
          <w:rStyle w:val="58"/>
          <w:rFonts w:ascii="宋体" w:hAnsi="宋体"/>
          <w:sz w:val="24"/>
        </w:rPr>
        <w:t>7.1 定标方式</w:t>
      </w:r>
    </w:p>
    <w:p>
      <w:pPr>
        <w:spacing w:line="360" w:lineRule="auto"/>
        <w:ind w:firstLine="420" w:firstLineChars="200"/>
        <w:rPr>
          <w:rFonts w:ascii="宋体" w:hAnsi="宋体"/>
        </w:rPr>
      </w:pPr>
      <w:r>
        <w:rPr>
          <w:rFonts w:hint="eastAsia" w:ascii="宋体" w:hAnsi="宋体"/>
        </w:rPr>
        <w:t>除投标人须知前附表规定评标委员会直接确定中标人外，招标人依据评标委员会提供的评标资料择优确定中标人，评标委员会推荐中标候选人的人数见投标人须知前附表。</w:t>
      </w:r>
    </w:p>
    <w:p>
      <w:pPr>
        <w:pStyle w:val="62"/>
        <w:spacing w:before="0" w:after="0"/>
        <w:rPr>
          <w:rStyle w:val="58"/>
          <w:rFonts w:ascii="宋体" w:hAnsi="宋体"/>
          <w:sz w:val="24"/>
        </w:rPr>
      </w:pPr>
      <w:r>
        <w:rPr>
          <w:rStyle w:val="58"/>
          <w:rFonts w:ascii="宋体" w:hAnsi="宋体"/>
          <w:sz w:val="24"/>
        </w:rPr>
        <w:t>7.2 中标通知</w:t>
      </w:r>
    </w:p>
    <w:p>
      <w:pPr>
        <w:spacing w:line="360" w:lineRule="auto"/>
        <w:ind w:firstLine="420" w:firstLineChars="200"/>
        <w:rPr>
          <w:rStyle w:val="58"/>
          <w:rFonts w:ascii="宋体" w:hAnsi="宋体"/>
        </w:rPr>
      </w:pPr>
      <w:r>
        <w:rPr>
          <w:rStyle w:val="58"/>
          <w:rFonts w:ascii="宋体" w:hAnsi="宋体"/>
        </w:rPr>
        <w:t>在本章</w:t>
      </w:r>
      <w:r>
        <w:rPr>
          <w:rStyle w:val="45"/>
          <w:rFonts w:ascii="宋体" w:hAnsi="宋体"/>
          <w:color w:val="auto"/>
          <w:sz w:val="21"/>
        </w:rPr>
        <w:t>第3.3款</w:t>
      </w:r>
      <w:r>
        <w:rPr>
          <w:rStyle w:val="58"/>
          <w:rFonts w:ascii="宋体" w:hAnsi="宋体"/>
        </w:rPr>
        <w:t>规定的投标有效期内，招标人以书面形式向中标人发出中标通知书，同时将中标结果通知未中标的投标人。</w:t>
      </w:r>
      <w:r>
        <w:rPr>
          <w:rStyle w:val="58"/>
          <w:rFonts w:hint="eastAsia" w:ascii="宋体" w:hAnsi="宋体"/>
          <w:b/>
          <w:bCs/>
        </w:rPr>
        <w:t>中标通知包括但不限于电话、微信、邮件、书面通知等形式，中标人应在收到中标通知后立即对接进场事宜，不得以未收到纸质中标通知书做为延期的条件拒绝招标人的进场要求。</w:t>
      </w:r>
    </w:p>
    <w:p>
      <w:pPr>
        <w:pStyle w:val="62"/>
        <w:spacing w:before="0" w:after="0"/>
        <w:rPr>
          <w:rStyle w:val="58"/>
          <w:rFonts w:ascii="宋体" w:hAnsi="宋体"/>
          <w:sz w:val="24"/>
        </w:rPr>
      </w:pPr>
      <w:r>
        <w:rPr>
          <w:rStyle w:val="58"/>
          <w:rFonts w:ascii="宋体" w:hAnsi="宋体"/>
          <w:sz w:val="24"/>
        </w:rPr>
        <w:t>7.3 签订合同</w:t>
      </w:r>
    </w:p>
    <w:p>
      <w:pPr>
        <w:spacing w:line="360" w:lineRule="auto"/>
        <w:ind w:firstLine="420" w:firstLineChars="200"/>
        <w:rPr>
          <w:rStyle w:val="58"/>
          <w:rFonts w:ascii="宋体" w:hAnsi="宋体"/>
        </w:rPr>
      </w:pPr>
      <w:r>
        <w:rPr>
          <w:rStyle w:val="58"/>
          <w:rFonts w:ascii="宋体" w:hAnsi="宋体"/>
        </w:rPr>
        <w:t xml:space="preserve">7.3.1招标人和中标人应当自中标通知书发出之日起30天内，根据招标文件和中标人的投标文件订立书面合同。中标人无正当理由拒签合同的，招标人取消其中标资格，其投标保证金不予退还；给招标人造成的损失超过投标保证金数额的，中标人还应当对超过部分予以赔偿。 </w:t>
      </w:r>
    </w:p>
    <w:p>
      <w:pPr>
        <w:spacing w:line="360" w:lineRule="auto"/>
        <w:ind w:firstLine="420" w:firstLineChars="200"/>
        <w:rPr>
          <w:rStyle w:val="58"/>
          <w:rFonts w:ascii="宋体" w:hAnsi="宋体"/>
        </w:rPr>
      </w:pPr>
      <w:r>
        <w:rPr>
          <w:rStyle w:val="58"/>
          <w:rFonts w:ascii="宋体" w:hAnsi="宋体"/>
        </w:rPr>
        <w:t xml:space="preserve">7.3.2发出中标通知书后，招标人无正当理由拒签合同的，招标人向中标人退还投标保证金；给中标人造成损失的，还应当赔偿损失。 </w:t>
      </w:r>
    </w:p>
    <w:p>
      <w:pPr>
        <w:pStyle w:val="7"/>
        <w:spacing w:before="0" w:after="0"/>
        <w:jc w:val="center"/>
        <w:rPr>
          <w:sz w:val="30"/>
          <w:szCs w:val="30"/>
        </w:rPr>
      </w:pPr>
      <w:bookmarkStart w:id="63" w:name="_Toc211261908"/>
      <w:bookmarkStart w:id="64" w:name="_Toc16063900"/>
      <w:bookmarkStart w:id="65" w:name="_Toc19379"/>
      <w:bookmarkStart w:id="66" w:name="_Toc17817330"/>
      <w:r>
        <w:rPr>
          <w:sz w:val="30"/>
          <w:szCs w:val="30"/>
        </w:rPr>
        <w:t>8. 重新招标和不再招标</w:t>
      </w:r>
      <w:bookmarkEnd w:id="63"/>
      <w:bookmarkEnd w:id="64"/>
      <w:bookmarkEnd w:id="65"/>
      <w:bookmarkEnd w:id="66"/>
    </w:p>
    <w:p>
      <w:pPr>
        <w:pStyle w:val="62"/>
        <w:spacing w:before="0" w:after="0"/>
        <w:rPr>
          <w:rStyle w:val="58"/>
          <w:rFonts w:ascii="宋体" w:hAnsi="宋体"/>
          <w:sz w:val="24"/>
        </w:rPr>
      </w:pPr>
      <w:r>
        <w:rPr>
          <w:rStyle w:val="58"/>
          <w:rFonts w:ascii="宋体" w:hAnsi="宋体"/>
          <w:sz w:val="24"/>
        </w:rPr>
        <w:t>8.1 重新招标</w:t>
      </w:r>
    </w:p>
    <w:p>
      <w:pPr>
        <w:spacing w:line="360" w:lineRule="auto"/>
        <w:ind w:firstLine="420" w:firstLineChars="200"/>
        <w:rPr>
          <w:rStyle w:val="58"/>
          <w:rFonts w:ascii="宋体" w:hAnsi="宋体"/>
        </w:rPr>
      </w:pPr>
      <w:r>
        <w:rPr>
          <w:rStyle w:val="58"/>
          <w:rFonts w:ascii="宋体" w:hAnsi="宋体"/>
        </w:rPr>
        <w:t>有下列情形之一的，招标人将重新招标：</w:t>
      </w:r>
    </w:p>
    <w:p>
      <w:pPr>
        <w:spacing w:line="360" w:lineRule="auto"/>
        <w:ind w:firstLine="359" w:firstLineChars="171"/>
        <w:rPr>
          <w:rStyle w:val="58"/>
          <w:rFonts w:ascii="宋体" w:hAnsi="宋体"/>
        </w:rPr>
      </w:pPr>
      <w:r>
        <w:rPr>
          <w:rStyle w:val="58"/>
          <w:rFonts w:ascii="宋体" w:hAnsi="宋体"/>
        </w:rPr>
        <w:t>（1）投标截止时间止，投标人少于3个的；</w:t>
      </w:r>
    </w:p>
    <w:p>
      <w:pPr>
        <w:spacing w:line="360" w:lineRule="auto"/>
        <w:ind w:firstLine="359" w:firstLineChars="171"/>
        <w:rPr>
          <w:rStyle w:val="58"/>
          <w:rFonts w:ascii="宋体" w:hAnsi="宋体"/>
        </w:rPr>
      </w:pPr>
      <w:r>
        <w:rPr>
          <w:rStyle w:val="58"/>
          <w:rFonts w:ascii="宋体" w:hAnsi="宋体"/>
        </w:rPr>
        <w:t>（2）经评标委员会评审后否决所有投标的。</w:t>
      </w:r>
    </w:p>
    <w:p>
      <w:pPr>
        <w:pStyle w:val="62"/>
        <w:spacing w:before="0" w:after="0"/>
        <w:rPr>
          <w:rStyle w:val="58"/>
          <w:rFonts w:ascii="宋体" w:hAnsi="宋体"/>
          <w:sz w:val="24"/>
        </w:rPr>
      </w:pPr>
      <w:r>
        <w:rPr>
          <w:rStyle w:val="58"/>
          <w:rFonts w:ascii="宋体" w:hAnsi="宋体"/>
          <w:sz w:val="24"/>
        </w:rPr>
        <w:t>8.2 不再招标</w:t>
      </w:r>
    </w:p>
    <w:p>
      <w:pPr>
        <w:spacing w:line="360" w:lineRule="auto"/>
        <w:ind w:firstLine="420" w:firstLineChars="200"/>
        <w:rPr>
          <w:rStyle w:val="58"/>
          <w:rFonts w:ascii="宋体" w:hAnsi="宋体"/>
        </w:rPr>
      </w:pPr>
      <w:r>
        <w:rPr>
          <w:rStyle w:val="58"/>
          <w:rFonts w:ascii="宋体" w:hAnsi="宋体"/>
        </w:rPr>
        <w:t>重新招标后投标人仍少于3个或者所有投标被否决的，属于必须审批或核准的工程建设项目，经原审批或核准部门批准后不再进行招标。</w:t>
      </w:r>
    </w:p>
    <w:p>
      <w:pPr>
        <w:pStyle w:val="7"/>
        <w:spacing w:before="0" w:after="0"/>
        <w:jc w:val="center"/>
        <w:rPr>
          <w:sz w:val="30"/>
          <w:szCs w:val="30"/>
        </w:rPr>
      </w:pPr>
      <w:bookmarkStart w:id="67" w:name="_Toc211261909"/>
      <w:bookmarkStart w:id="68" w:name="_Toc21395"/>
      <w:bookmarkStart w:id="69" w:name="_Toc16063901"/>
      <w:bookmarkStart w:id="70" w:name="_Toc17817331"/>
      <w:r>
        <w:rPr>
          <w:sz w:val="30"/>
          <w:szCs w:val="30"/>
        </w:rPr>
        <w:t>9. 纪律和监督</w:t>
      </w:r>
      <w:bookmarkEnd w:id="67"/>
      <w:bookmarkEnd w:id="68"/>
      <w:bookmarkEnd w:id="69"/>
      <w:bookmarkEnd w:id="70"/>
    </w:p>
    <w:p>
      <w:pPr>
        <w:pStyle w:val="62"/>
        <w:spacing w:before="0" w:after="0"/>
        <w:rPr>
          <w:rStyle w:val="58"/>
          <w:rFonts w:ascii="宋体" w:hAnsi="宋体"/>
          <w:sz w:val="24"/>
        </w:rPr>
      </w:pPr>
      <w:r>
        <w:rPr>
          <w:rStyle w:val="58"/>
          <w:rFonts w:ascii="宋体" w:hAnsi="宋体"/>
          <w:sz w:val="24"/>
        </w:rPr>
        <w:t>9.1 对招标人的纪律要求</w:t>
      </w:r>
    </w:p>
    <w:p>
      <w:pPr>
        <w:spacing w:line="360" w:lineRule="auto"/>
        <w:ind w:firstLine="420" w:firstLineChars="200"/>
        <w:rPr>
          <w:rStyle w:val="58"/>
          <w:rFonts w:ascii="宋体" w:hAnsi="宋体"/>
        </w:rPr>
      </w:pPr>
      <w:r>
        <w:rPr>
          <w:rStyle w:val="58"/>
          <w:rFonts w:ascii="宋体" w:hAnsi="宋体"/>
        </w:rPr>
        <w:t>招标人不得泄漏招标投标活动中应当保密的情况和资料，不得与投标人串通损害国家利益、社会公共利益或者他人合法权益。</w:t>
      </w:r>
    </w:p>
    <w:p>
      <w:pPr>
        <w:pStyle w:val="62"/>
        <w:spacing w:before="0" w:after="0"/>
        <w:rPr>
          <w:rStyle w:val="58"/>
          <w:rFonts w:ascii="宋体" w:hAnsi="宋体"/>
          <w:sz w:val="24"/>
        </w:rPr>
      </w:pPr>
      <w:r>
        <w:rPr>
          <w:rStyle w:val="58"/>
          <w:rFonts w:ascii="宋体" w:hAnsi="宋体"/>
          <w:sz w:val="24"/>
        </w:rPr>
        <w:t>9.2 对投标人的纪律要求</w:t>
      </w:r>
    </w:p>
    <w:p>
      <w:pPr>
        <w:spacing w:line="360" w:lineRule="auto"/>
        <w:ind w:firstLine="420" w:firstLineChars="200"/>
        <w:rPr>
          <w:rStyle w:val="58"/>
          <w:rFonts w:ascii="宋体" w:hAnsi="宋体"/>
        </w:rPr>
      </w:pPr>
      <w:r>
        <w:rPr>
          <w:rStyle w:val="58"/>
          <w:rFonts w:ascii="宋体" w:hAnsi="宋体"/>
        </w:rPr>
        <w:t>投标人不得相互串通投标或者与招标人串通投标，不得向招标人或者评标委员会成员行贿谋取中标，不得以他人名义投标或者以其他方式弄虚作假骗取中标；投标人不得以任何方式干扰、影响评标工作。</w:t>
      </w:r>
    </w:p>
    <w:p>
      <w:pPr>
        <w:pStyle w:val="62"/>
        <w:spacing w:before="0" w:after="0"/>
        <w:rPr>
          <w:rStyle w:val="58"/>
          <w:rFonts w:ascii="宋体" w:hAnsi="宋体"/>
          <w:sz w:val="24"/>
        </w:rPr>
      </w:pPr>
      <w:r>
        <w:rPr>
          <w:rStyle w:val="58"/>
          <w:rFonts w:ascii="宋体" w:hAnsi="宋体"/>
          <w:sz w:val="24"/>
        </w:rPr>
        <w:t>9.3 对评标委员会成员的纪律要求</w:t>
      </w:r>
    </w:p>
    <w:p>
      <w:pPr>
        <w:spacing w:line="360" w:lineRule="auto"/>
        <w:ind w:firstLine="420" w:firstLineChars="200"/>
        <w:rPr>
          <w:rStyle w:val="58"/>
          <w:rFonts w:ascii="宋体" w:hAnsi="宋体"/>
        </w:rPr>
      </w:pPr>
      <w:r>
        <w:rPr>
          <w:rStyle w:val="58"/>
          <w:rFonts w:ascii="宋体" w:hAnsi="宋体"/>
        </w:rPr>
        <w:t>评标委员会成员不得收受他人的财物或者其他好处，不得向他人透漏对投标文件的评审和比较、中标候选人的推荐情况以及评标有关的其他情况。在评标活动中，评标委员会成员不得擅离职守，影响评标程序正常进行，不得使用第三章“评标办法”没有规定的评审因素和标准进行评标。</w:t>
      </w:r>
    </w:p>
    <w:p>
      <w:pPr>
        <w:pStyle w:val="62"/>
        <w:spacing w:before="0" w:after="0"/>
        <w:rPr>
          <w:rStyle w:val="58"/>
          <w:rFonts w:ascii="宋体" w:hAnsi="宋体"/>
          <w:sz w:val="24"/>
        </w:rPr>
      </w:pPr>
      <w:r>
        <w:rPr>
          <w:rStyle w:val="58"/>
          <w:rFonts w:ascii="宋体" w:hAnsi="宋体"/>
          <w:sz w:val="24"/>
        </w:rPr>
        <w:t>9.4 对与评标活动有关的工作人员的纪律要求</w:t>
      </w:r>
    </w:p>
    <w:p>
      <w:pPr>
        <w:spacing w:line="360" w:lineRule="auto"/>
        <w:ind w:firstLine="420" w:firstLineChars="200"/>
        <w:rPr>
          <w:rStyle w:val="58"/>
          <w:rFonts w:ascii="宋体" w:hAnsi="宋体"/>
        </w:rPr>
      </w:pPr>
      <w:r>
        <w:rPr>
          <w:rStyle w:val="58"/>
          <w:rFonts w:ascii="宋体" w:hAnsi="宋体"/>
        </w:rPr>
        <w:t>与评标活动有关的工作人员不得收受他人的财物或者其他好处，不得向他人透漏对投标文件的评审和比较、中标候选人的推荐情况以及评标有关的其他情况。在评标活动中，与评标活动有关的工作人员不得擅离职守，影响评标程序正常进行。</w:t>
      </w:r>
    </w:p>
    <w:p>
      <w:pPr>
        <w:pStyle w:val="62"/>
        <w:spacing w:before="0" w:after="0"/>
        <w:rPr>
          <w:rStyle w:val="58"/>
          <w:rFonts w:ascii="宋体" w:hAnsi="宋体"/>
          <w:sz w:val="24"/>
        </w:rPr>
      </w:pPr>
      <w:r>
        <w:rPr>
          <w:rStyle w:val="58"/>
          <w:rFonts w:ascii="宋体" w:hAnsi="宋体"/>
          <w:sz w:val="24"/>
        </w:rPr>
        <w:t>9.5 投诉</w:t>
      </w:r>
    </w:p>
    <w:p>
      <w:pPr>
        <w:spacing w:line="360" w:lineRule="auto"/>
        <w:ind w:firstLine="420" w:firstLineChars="200"/>
        <w:rPr>
          <w:rStyle w:val="58"/>
          <w:rFonts w:ascii="宋体" w:hAnsi="宋体"/>
        </w:rPr>
      </w:pPr>
      <w:r>
        <w:rPr>
          <w:rStyle w:val="58"/>
          <w:rFonts w:ascii="宋体" w:hAnsi="宋体"/>
        </w:rPr>
        <w:t>投标人和其他利害关系人认为本次招标活动违反法律、法规和规章规定的，有权向有关行政监督部门投诉。</w:t>
      </w:r>
    </w:p>
    <w:p>
      <w:pPr>
        <w:spacing w:line="360" w:lineRule="auto"/>
        <w:ind w:firstLine="420" w:firstLineChars="200"/>
        <w:rPr>
          <w:rStyle w:val="58"/>
          <w:rFonts w:ascii="宋体" w:hAnsi="宋体"/>
        </w:rPr>
      </w:pPr>
      <w:r>
        <w:rPr>
          <w:rStyle w:val="58"/>
          <w:rFonts w:ascii="宋体" w:hAnsi="宋体"/>
        </w:rPr>
        <w:t>9.5.1潜在投标人或其他利害关系人对招标文件有异议的，应当在投标截止时间10日前向招标人提出。</w:t>
      </w:r>
    </w:p>
    <w:p>
      <w:pPr>
        <w:spacing w:line="360" w:lineRule="auto"/>
        <w:ind w:firstLine="420" w:firstLineChars="200"/>
        <w:rPr>
          <w:rStyle w:val="58"/>
          <w:rFonts w:ascii="宋体" w:hAnsi="宋体"/>
        </w:rPr>
      </w:pPr>
      <w:r>
        <w:rPr>
          <w:rStyle w:val="58"/>
          <w:rFonts w:ascii="宋体" w:hAnsi="宋体"/>
        </w:rPr>
        <w:t>9.5.2投标人对开标有异议，应在开标现场向招标人提出。</w:t>
      </w:r>
    </w:p>
    <w:p>
      <w:pPr>
        <w:spacing w:line="360" w:lineRule="auto"/>
        <w:ind w:firstLine="420" w:firstLineChars="200"/>
        <w:rPr>
          <w:rStyle w:val="58"/>
          <w:rFonts w:ascii="宋体" w:hAnsi="宋体"/>
        </w:rPr>
      </w:pPr>
      <w:r>
        <w:rPr>
          <w:rStyle w:val="58"/>
          <w:rFonts w:ascii="宋体" w:hAnsi="宋体"/>
        </w:rPr>
        <w:t>9.5.3投标人或者其他利害关系人对依法必须进行招标的项目的评标结果有异议的，应当在中标候选人公示期间向招标人提出。</w:t>
      </w:r>
    </w:p>
    <w:p>
      <w:pPr>
        <w:spacing w:line="360" w:lineRule="auto"/>
        <w:ind w:firstLine="420" w:firstLineChars="200"/>
        <w:rPr>
          <w:rStyle w:val="58"/>
          <w:rFonts w:ascii="宋体" w:hAnsi="宋体"/>
        </w:rPr>
      </w:pPr>
      <w:r>
        <w:rPr>
          <w:rStyle w:val="58"/>
          <w:rFonts w:ascii="宋体" w:hAnsi="宋体"/>
        </w:rPr>
        <w:t>投标人或者其他利害关系人认为招标投标活动不符合法律、行政法规规定的，可以自知道或者应当知道之日起10日内向有关行政监督部门投诉。投诉应当有明确的请求和必要的证明材料。就9.5.1、9.5.2、9.5.3规定事项投诉的，应当先向招标人提出异议。</w:t>
      </w:r>
    </w:p>
    <w:p>
      <w:pPr>
        <w:pStyle w:val="7"/>
        <w:spacing w:before="0" w:after="0"/>
        <w:jc w:val="center"/>
        <w:rPr>
          <w:sz w:val="30"/>
          <w:szCs w:val="30"/>
        </w:rPr>
      </w:pPr>
      <w:bookmarkStart w:id="71" w:name="_Toc44666935"/>
      <w:bookmarkStart w:id="72" w:name="_Toc211261910"/>
      <w:bookmarkStart w:id="73" w:name="_Toc16063902"/>
      <w:bookmarkStart w:id="74" w:name="_Toc11499"/>
      <w:bookmarkStart w:id="75" w:name="_Toc17817332"/>
      <w:r>
        <w:rPr>
          <w:rFonts w:hint="eastAsia"/>
          <w:sz w:val="30"/>
          <w:szCs w:val="30"/>
        </w:rPr>
        <w:t>1</w:t>
      </w:r>
      <w:r>
        <w:rPr>
          <w:sz w:val="30"/>
          <w:szCs w:val="30"/>
        </w:rPr>
        <w:t>0.</w:t>
      </w:r>
      <w:r>
        <w:rPr>
          <w:rFonts w:hint="eastAsia"/>
          <w:sz w:val="30"/>
          <w:szCs w:val="30"/>
        </w:rPr>
        <w:t>中标人瑕疵滞后发现的处理原则</w:t>
      </w:r>
      <w:bookmarkEnd w:id="71"/>
      <w:bookmarkEnd w:id="72"/>
    </w:p>
    <w:p>
      <w:pPr>
        <w:pStyle w:val="19"/>
        <w:spacing w:line="360" w:lineRule="auto"/>
        <w:ind w:firstLine="420" w:firstLineChars="200"/>
        <w:jc w:val="left"/>
        <w:rPr>
          <w:rStyle w:val="58"/>
          <w:rFonts w:ascii="宋体" w:hAnsi="宋体" w:eastAsia="宋体"/>
          <w:sz w:val="21"/>
          <w:szCs w:val="24"/>
        </w:rPr>
      </w:pPr>
      <w:r>
        <w:rPr>
          <w:rStyle w:val="58"/>
          <w:rFonts w:hint="eastAsia" w:ascii="宋体" w:hAnsi="宋体" w:eastAsia="宋体"/>
          <w:sz w:val="21"/>
          <w:szCs w:val="24"/>
        </w:rPr>
        <w:t>无论基于何种原因，各项本应作为拒绝处理的情形即便未被及时发现而使该中标人通过了资格审核、初评、现场复审、终评或其他所有相关程序，包括已签订合同的情形，招标人有权拒绝或取消中标人资格，一旦中标人被拒绝或该中标人此前的评议结果被取消，相关的一切损失均由该中标人承担。</w:t>
      </w:r>
    </w:p>
    <w:p>
      <w:pPr>
        <w:pStyle w:val="7"/>
        <w:spacing w:before="0" w:after="0"/>
        <w:jc w:val="center"/>
        <w:rPr>
          <w:sz w:val="30"/>
          <w:szCs w:val="30"/>
        </w:rPr>
      </w:pPr>
      <w:bookmarkStart w:id="76" w:name="_Toc211261911"/>
      <w:r>
        <w:rPr>
          <w:sz w:val="30"/>
          <w:szCs w:val="30"/>
        </w:rPr>
        <w:t>1</w:t>
      </w:r>
      <w:r>
        <w:rPr>
          <w:rFonts w:hint="eastAsia"/>
          <w:sz w:val="30"/>
          <w:szCs w:val="30"/>
        </w:rPr>
        <w:t>1</w:t>
      </w:r>
      <w:r>
        <w:rPr>
          <w:sz w:val="30"/>
          <w:szCs w:val="30"/>
        </w:rPr>
        <w:t>. 需要补充的其他内容</w:t>
      </w:r>
      <w:bookmarkEnd w:id="73"/>
      <w:bookmarkEnd w:id="74"/>
      <w:bookmarkEnd w:id="75"/>
      <w:bookmarkEnd w:id="76"/>
    </w:p>
    <w:p>
      <w:pPr>
        <w:spacing w:line="360" w:lineRule="auto"/>
        <w:ind w:firstLine="420" w:firstLineChars="200"/>
        <w:rPr>
          <w:rStyle w:val="58"/>
          <w:rFonts w:ascii="宋体" w:hAnsi="宋体"/>
          <w:i/>
          <w:iCs/>
        </w:rPr>
      </w:pPr>
      <w:r>
        <w:rPr>
          <w:rStyle w:val="58"/>
          <w:rFonts w:ascii="宋体" w:hAnsi="宋体"/>
        </w:rPr>
        <w:t>需要补充的其他内容：见投标人须知前附表。</w:t>
      </w:r>
      <w:r>
        <w:rPr>
          <w:rStyle w:val="58"/>
          <w:rFonts w:ascii="宋体" w:hAnsi="宋体"/>
        </w:rPr>
        <w:br w:type="page"/>
      </w:r>
    </w:p>
    <w:p>
      <w:pPr>
        <w:pStyle w:val="6"/>
        <w:jc w:val="center"/>
        <w:rPr>
          <w:i w:val="0"/>
          <w:iCs w:val="0"/>
          <w:sz w:val="32"/>
          <w:szCs w:val="32"/>
        </w:rPr>
      </w:pPr>
      <w:bookmarkStart w:id="77" w:name="_Toc31391"/>
      <w:bookmarkStart w:id="78" w:name="_Toc17817333"/>
      <w:bookmarkStart w:id="79" w:name="_Toc211261912"/>
      <w:r>
        <w:rPr>
          <w:i w:val="0"/>
          <w:iCs w:val="0"/>
          <w:sz w:val="32"/>
          <w:szCs w:val="32"/>
        </w:rPr>
        <w:t>第三章 评标办法</w:t>
      </w:r>
      <w:bookmarkEnd w:id="77"/>
      <w:bookmarkEnd w:id="78"/>
      <w:bookmarkEnd w:id="79"/>
    </w:p>
    <w:p>
      <w:pPr>
        <w:pStyle w:val="7"/>
        <w:spacing w:before="0" w:after="0"/>
        <w:jc w:val="center"/>
        <w:rPr>
          <w:sz w:val="30"/>
          <w:szCs w:val="30"/>
        </w:rPr>
      </w:pPr>
      <w:bookmarkStart w:id="80" w:name="_Toc151132049"/>
      <w:bookmarkStart w:id="81" w:name="_Toc211261913"/>
      <w:bookmarkStart w:id="82" w:name="_Hlk161833660"/>
      <w:r>
        <w:rPr>
          <w:rFonts w:hint="eastAsia"/>
          <w:sz w:val="30"/>
          <w:szCs w:val="30"/>
        </w:rPr>
        <w:t>一、评分细则</w:t>
      </w:r>
      <w:bookmarkEnd w:id="80"/>
      <w:bookmarkEnd w:id="81"/>
    </w:p>
    <w:bookmarkEnd w:id="82"/>
    <w:p>
      <w:pPr>
        <w:spacing w:line="360" w:lineRule="auto"/>
        <w:ind w:firstLine="569" w:firstLineChars="236"/>
        <w:rPr>
          <w:rFonts w:ascii="宋体" w:hAnsi="宋体" w:cs="宋体"/>
          <w:b/>
          <w:bCs/>
          <w:sz w:val="24"/>
        </w:rPr>
      </w:pPr>
      <w:r>
        <w:rPr>
          <w:rFonts w:hint="eastAsia" w:ascii="宋体" w:hAnsi="宋体" w:cs="宋体"/>
          <w:b/>
          <w:bCs/>
          <w:sz w:val="24"/>
        </w:rPr>
        <w:t>本次评标采用技术标和商务标同时开标、分阶段评标的模式。</w:t>
      </w:r>
    </w:p>
    <w:p>
      <w:pPr>
        <w:spacing w:line="360" w:lineRule="auto"/>
        <w:ind w:firstLine="569" w:firstLineChars="236"/>
        <w:rPr>
          <w:rFonts w:ascii="宋体" w:hAnsi="宋体" w:cs="宋体"/>
          <w:b/>
          <w:bCs/>
          <w:sz w:val="24"/>
        </w:rPr>
      </w:pPr>
      <w:r>
        <w:rPr>
          <w:rFonts w:hint="eastAsia" w:ascii="宋体" w:hAnsi="宋体" w:cs="宋体"/>
          <w:b/>
          <w:bCs/>
          <w:sz w:val="24"/>
        </w:rPr>
        <w:t>首先进行技术标评审，由评标专家组对所有投标方的技术标部分综合评定和打分，确定进入商务标评比资格的投标方（</w:t>
      </w:r>
      <w:r>
        <w:rPr>
          <w:rFonts w:hint="eastAsia" w:ascii="宋体" w:hAnsi="宋体" w:cs="宋体"/>
          <w:b/>
          <w:bCs/>
          <w:sz w:val="24"/>
          <w:highlight w:val="yellow"/>
        </w:rPr>
        <w:t>技术标评分不带入商务标</w:t>
      </w:r>
      <w:r>
        <w:rPr>
          <w:rFonts w:hint="eastAsia" w:ascii="宋体" w:hAnsi="宋体" w:cs="宋体"/>
          <w:b/>
          <w:bCs/>
          <w:sz w:val="24"/>
        </w:rPr>
        <w:t>）。</w:t>
      </w:r>
    </w:p>
    <w:p>
      <w:pPr>
        <w:spacing w:line="360" w:lineRule="auto"/>
        <w:ind w:firstLine="569" w:firstLineChars="236"/>
        <w:rPr>
          <w:rFonts w:ascii="宋体" w:cs="宋体"/>
          <w:b/>
          <w:bCs/>
          <w:sz w:val="24"/>
          <w:lang w:bidi="ar"/>
        </w:rPr>
      </w:pPr>
      <w:r>
        <w:rPr>
          <w:rFonts w:hint="eastAsia" w:ascii="宋体" w:hAnsi="宋体" w:cs="宋体"/>
          <w:b/>
          <w:bCs/>
          <w:sz w:val="24"/>
        </w:rPr>
        <w:t>然后进行商务标的评标，</w:t>
      </w:r>
      <w:r>
        <w:rPr>
          <w:rFonts w:hint="eastAsia" w:ascii="宋体" w:cs="宋体"/>
          <w:b/>
          <w:bCs/>
          <w:sz w:val="24"/>
          <w:lang w:bidi="ar"/>
        </w:rPr>
        <w:t>招标人有权根据项目情况，商务标采取多轮（至少3轮）评标模式，最终根据商务标的</w:t>
      </w:r>
      <w:bookmarkStart w:id="83" w:name="_Hlk209614710"/>
      <w:r>
        <w:rPr>
          <w:rFonts w:hint="eastAsia" w:ascii="宋体" w:cs="宋体"/>
          <w:b/>
          <w:bCs/>
          <w:sz w:val="24"/>
          <w:lang w:bidi="ar"/>
        </w:rPr>
        <w:t>报价</w:t>
      </w:r>
      <w:bookmarkEnd w:id="83"/>
      <w:r>
        <w:rPr>
          <w:rFonts w:hint="eastAsia" w:ascii="宋体" w:cs="宋体"/>
          <w:b/>
          <w:bCs/>
          <w:sz w:val="24"/>
          <w:lang w:bidi="ar"/>
        </w:rPr>
        <w:t>确定各投标人排序，原则上按照合理最低价确定推荐中标人（不保证最低价格中标），对未中标单位不做任何解释。</w:t>
      </w:r>
    </w:p>
    <w:p>
      <w:pPr>
        <w:spacing w:line="360" w:lineRule="auto"/>
        <w:ind w:firstLine="566" w:firstLineChars="236"/>
        <w:rPr>
          <w:rFonts w:ascii="宋体" w:cs="宋体"/>
          <w:kern w:val="0"/>
          <w:sz w:val="24"/>
        </w:rPr>
      </w:pPr>
      <w:r>
        <w:rPr>
          <w:rFonts w:hint="eastAsia" w:ascii="宋体" w:hAnsi="宋体" w:cs="宋体"/>
          <w:sz w:val="24"/>
        </w:rPr>
        <w:t>评分细则如下：</w:t>
      </w:r>
    </w:p>
    <w:p>
      <w:pPr>
        <w:pStyle w:val="62"/>
        <w:spacing w:before="0" w:after="0"/>
        <w:jc w:val="center"/>
        <w:rPr>
          <w:rStyle w:val="58"/>
          <w:rFonts w:ascii="宋体" w:hAnsi="宋体"/>
          <w:sz w:val="24"/>
        </w:rPr>
      </w:pPr>
      <w:r>
        <w:rPr>
          <w:rStyle w:val="58"/>
          <w:rFonts w:ascii="宋体" w:hAnsi="宋体"/>
          <w:sz w:val="24"/>
        </w:rPr>
        <w:t>技术标评分细则（满分</w:t>
      </w:r>
      <w:r>
        <w:rPr>
          <w:rStyle w:val="58"/>
          <w:rFonts w:hint="eastAsia" w:ascii="宋体" w:hAnsi="宋体"/>
          <w:sz w:val="24"/>
        </w:rPr>
        <w:t>100</w:t>
      </w:r>
      <w:r>
        <w:rPr>
          <w:rStyle w:val="58"/>
          <w:rFonts w:ascii="宋体" w:hAnsi="宋体"/>
          <w:sz w:val="24"/>
        </w:rPr>
        <w:t>分）</w:t>
      </w:r>
    </w:p>
    <w:p>
      <w:pPr>
        <w:pStyle w:val="62"/>
        <w:spacing w:before="0" w:after="0"/>
        <w:jc w:val="center"/>
        <w:rPr>
          <w:rStyle w:val="58"/>
          <w:rFonts w:ascii="宋体" w:hAnsi="宋体"/>
          <w:sz w:val="24"/>
        </w:rPr>
      </w:pPr>
    </w:p>
    <w:tbl>
      <w:tblPr>
        <w:tblStyle w:val="37"/>
        <w:tblW w:w="996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8"/>
        <w:gridCol w:w="1084"/>
        <w:gridCol w:w="887"/>
        <w:gridCol w:w="745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90" w:hRule="atLeast"/>
          <w:jc w:val="center"/>
        </w:trPr>
        <w:tc>
          <w:tcPr>
            <w:tcW w:w="53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spacing w:val="-20"/>
              </w:rPr>
            </w:pPr>
            <w:bookmarkStart w:id="84" w:name="_Toc17817335"/>
            <w:bookmarkStart w:id="85" w:name="_Toc3914"/>
            <w:r>
              <w:rPr>
                <w:rFonts w:hint="eastAsia" w:ascii="宋体" w:cs="宋体"/>
                <w:spacing w:val="-20"/>
                <w:kern w:val="0"/>
                <w:szCs w:val="21"/>
                <w:lang w:bidi="ar"/>
              </w:rPr>
              <w:t>序号</w:t>
            </w:r>
          </w:p>
        </w:tc>
        <w:tc>
          <w:tcPr>
            <w:tcW w:w="1084"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hint="eastAsia" w:ascii="宋体" w:cs="宋体"/>
                <w:kern w:val="0"/>
                <w:szCs w:val="21"/>
                <w:lang w:bidi="ar"/>
              </w:rPr>
              <w:t>类别</w:t>
            </w: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hint="eastAsia" w:ascii="宋体" w:cs="宋体"/>
                <w:kern w:val="0"/>
                <w:szCs w:val="21"/>
                <w:lang w:bidi="ar"/>
              </w:rPr>
              <w:t>满分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hint="eastAsia" w:ascii="宋体" w:cs="宋体"/>
                <w:kern w:val="0"/>
                <w:szCs w:val="21"/>
                <w:lang w:bidi="ar"/>
              </w:rPr>
              <w:t>得  分  标  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hint="eastAsia" w:ascii="宋体" w:cs="宋体"/>
                <w:kern w:val="0"/>
                <w:szCs w:val="21"/>
                <w:lang w:bidi="ar"/>
              </w:rPr>
              <w:t>1</w:t>
            </w:r>
          </w:p>
        </w:tc>
        <w:tc>
          <w:tcPr>
            <w:tcW w:w="1084" w:type="dxa"/>
            <w:vMerge w:val="restart"/>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rPr>
                <w:rFonts w:ascii="宋体" w:cs="宋体"/>
              </w:rPr>
            </w:pPr>
            <w:r>
              <w:rPr>
                <w:rFonts w:hint="eastAsia" w:ascii="宋体" w:cs="宋体"/>
                <w:kern w:val="0"/>
                <w:szCs w:val="21"/>
                <w:lang w:bidi="ar"/>
              </w:rPr>
              <w:t>施工</w:t>
            </w:r>
          </w:p>
          <w:p>
            <w:pPr>
              <w:widowControl/>
              <w:spacing w:line="360" w:lineRule="auto"/>
              <w:rPr>
                <w:rFonts w:ascii="宋体" w:cs="宋体"/>
              </w:rPr>
            </w:pPr>
            <w:r>
              <w:rPr>
                <w:rFonts w:hint="eastAsia" w:ascii="宋体" w:cs="宋体"/>
                <w:kern w:val="0"/>
                <w:szCs w:val="21"/>
                <w:lang w:bidi="ar"/>
              </w:rPr>
              <w:t>组织设计（</w:t>
            </w:r>
            <w:r>
              <w:rPr>
                <w:rFonts w:ascii="宋体" w:cs="宋体"/>
                <w:kern w:val="0"/>
                <w:szCs w:val="21"/>
                <w:lang w:bidi="ar"/>
              </w:rPr>
              <w:t>100</w:t>
            </w:r>
            <w:r>
              <w:rPr>
                <w:rFonts w:hint="eastAsia" w:ascii="宋体" w:cs="宋体"/>
                <w:kern w:val="0"/>
                <w:szCs w:val="21"/>
                <w:lang w:bidi="ar"/>
              </w:rPr>
              <w:t>分）</w:t>
            </w: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ascii="宋体" w:cs="宋体"/>
                <w:kern w:val="0"/>
                <w:szCs w:val="21"/>
                <w:lang w:bidi="ar"/>
              </w:rPr>
              <w:t>20</w:t>
            </w:r>
            <w:r>
              <w:rPr>
                <w:rFonts w:hint="eastAsia" w:ascii="宋体" w:cs="宋体"/>
                <w:kern w:val="0"/>
                <w:szCs w:val="21"/>
                <w:lang w:bidi="ar"/>
              </w:rPr>
              <w:t>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tcPr>
          <w:p>
            <w:pPr>
              <w:pStyle w:val="18"/>
              <w:widowControl/>
              <w:spacing w:line="360" w:lineRule="auto"/>
              <w:rPr>
                <w:rFonts w:ascii="宋体" w:hAnsi="Calibri" w:cs="宋体"/>
              </w:rPr>
            </w:pPr>
            <w:r>
              <w:rPr>
                <w:rFonts w:hint="eastAsia" w:ascii="宋体" w:hAnsi="Calibri" w:cs="宋体"/>
              </w:rPr>
              <w:t>施工组织总体方案（</w:t>
            </w:r>
            <w:r>
              <w:rPr>
                <w:rFonts w:hint="eastAsia" w:ascii="宋体" w:cs="宋体"/>
              </w:rPr>
              <w:t>对项目特点认知、项目管理机构组建、施工准备、施工总平面布置、施工顺序、施工流水段划分、施工</w:t>
            </w:r>
            <w:r>
              <w:rPr>
                <w:rFonts w:hint="eastAsia" w:ascii="宋体" w:hAnsi="Calibri" w:cs="宋体"/>
              </w:rPr>
              <w:t>劳务分包、专业分包</w:t>
            </w:r>
            <w:r>
              <w:rPr>
                <w:rFonts w:hint="eastAsia" w:ascii="宋体" w:cs="宋体"/>
              </w:rPr>
              <w:t>选择和组织、材料机械组织）等进行阐述，</w:t>
            </w:r>
            <w:r>
              <w:rPr>
                <w:rFonts w:hint="eastAsia" w:ascii="宋体" w:hAnsi="Calibri" w:cs="宋体"/>
              </w:rPr>
              <w:t>力求简洁。评委根据投标文件情况</w:t>
            </w:r>
            <w:r>
              <w:rPr>
                <w:rFonts w:hint="eastAsia" w:ascii="宋体" w:hAnsi="Calibri" w:cs="宋体"/>
                <w:highlight w:val="yellow"/>
              </w:rPr>
              <w:t>及项目经理现场答辩情况</w:t>
            </w:r>
            <w:r>
              <w:rPr>
                <w:rFonts w:hint="eastAsia" w:ascii="宋体" w:hAnsi="Calibri" w:cs="宋体"/>
              </w:rPr>
              <w:t>分为一般、良、优，</w:t>
            </w:r>
            <w:r>
              <w:rPr>
                <w:rFonts w:hint="eastAsia" w:ascii="宋体" w:hAnsi="Times New Roman" w:cs="宋体"/>
                <w:kern w:val="0"/>
                <w:szCs w:val="21"/>
                <w:lang w:bidi="ar"/>
              </w:rPr>
              <w:t>分别酌情得</w:t>
            </w:r>
            <w:r>
              <w:rPr>
                <w:rFonts w:hint="eastAsia" w:ascii="宋体" w:cs="宋体"/>
                <w:kern w:val="0"/>
                <w:szCs w:val="21"/>
                <w:lang w:bidi="ar"/>
              </w:rPr>
              <w:t>0-5分,5-10分,10-15</w:t>
            </w:r>
            <w:r>
              <w:rPr>
                <w:rFonts w:hint="eastAsia" w:ascii="宋体" w:cs="宋体"/>
              </w:rPr>
              <w:t>分</w:t>
            </w:r>
            <w:r>
              <w:rPr>
                <w:rFonts w:hint="eastAsia" w:ascii="宋体" w:cs="宋体"/>
                <w:kern w:val="0"/>
                <w:szCs w:val="21"/>
                <w:lang w:bidi="ar"/>
              </w:rPr>
              <w:t>，</w:t>
            </w:r>
            <w:r>
              <w:rPr>
                <w:rFonts w:hint="eastAsia" w:ascii="宋体" w:cs="宋体"/>
                <w:kern w:val="0"/>
                <w:szCs w:val="21"/>
              </w:rPr>
              <w:t>15-20</w:t>
            </w:r>
            <w:r>
              <w:rPr>
                <w:rFonts w:hint="eastAsia" w:ascii="宋体" w:cs="宋体"/>
              </w:rPr>
              <w:t>分，</w:t>
            </w:r>
            <w:r>
              <w:rPr>
                <w:rFonts w:hint="eastAsia" w:ascii="宋体" w:hAnsi="Calibri" w:cs="宋体"/>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ascii="宋体" w:cs="宋体"/>
                <w:kern w:val="0"/>
                <w:szCs w:val="21"/>
                <w:lang w:bidi="ar"/>
              </w:rPr>
              <w:t>20</w:t>
            </w:r>
            <w:r>
              <w:rPr>
                <w:rFonts w:hint="eastAsia" w:ascii="宋体" w:cs="宋体"/>
                <w:kern w:val="0"/>
                <w:szCs w:val="21"/>
                <w:lang w:bidi="ar"/>
              </w:rPr>
              <w:t>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tcPr>
          <w:p>
            <w:pPr>
              <w:widowControl/>
              <w:spacing w:line="360" w:lineRule="auto"/>
              <w:rPr>
                <w:rFonts w:ascii="宋体" w:cs="宋体"/>
              </w:rPr>
            </w:pPr>
            <w:r>
              <w:rPr>
                <w:rFonts w:hint="eastAsia" w:ascii="宋体" w:cs="宋体"/>
                <w:kern w:val="0"/>
                <w:szCs w:val="21"/>
                <w:lang w:bidi="ar"/>
              </w:rPr>
              <w:t>施工进度计划及保证措施（1、要求根据建设单位提供的关键节点，提供施工总进度横道图或网络图计划，施工内容要切合实际、全面；2、列举分析本工程的工期风险点及应对保证措施）。评委根据投标文件情况分为一般、良、优，分别酌情得0-5分,5-10分,10-15</w:t>
            </w:r>
            <w:r>
              <w:rPr>
                <w:rFonts w:hint="eastAsia" w:ascii="宋体" w:cs="宋体"/>
              </w:rPr>
              <w:t>分</w:t>
            </w:r>
            <w:r>
              <w:rPr>
                <w:rFonts w:hint="eastAsia" w:ascii="宋体" w:cs="宋体"/>
                <w:kern w:val="0"/>
                <w:szCs w:val="21"/>
                <w:lang w:bidi="ar"/>
              </w:rPr>
              <w:t>，</w:t>
            </w:r>
            <w:r>
              <w:rPr>
                <w:rFonts w:hint="eastAsia" w:ascii="宋体" w:cs="宋体"/>
                <w:kern w:val="0"/>
                <w:szCs w:val="21"/>
              </w:rPr>
              <w:t>15-20</w:t>
            </w:r>
            <w:r>
              <w:rPr>
                <w:rFonts w:hint="eastAsia" w:ascii="宋体" w:cs="宋体"/>
              </w:rPr>
              <w:t>分，</w:t>
            </w:r>
            <w:r>
              <w:rPr>
                <w:rFonts w:hint="eastAsia" w:ascii="宋体" w:cs="宋体"/>
                <w:kern w:val="0"/>
                <w:szCs w:val="21"/>
                <w:lang w:bidi="ar"/>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ascii="宋体" w:cs="宋体"/>
                <w:kern w:val="0"/>
                <w:szCs w:val="21"/>
                <w:lang w:bidi="ar"/>
              </w:rPr>
              <w:t>20</w:t>
            </w:r>
            <w:r>
              <w:rPr>
                <w:rFonts w:hint="eastAsia" w:ascii="宋体" w:cs="宋体"/>
                <w:kern w:val="0"/>
                <w:szCs w:val="21"/>
                <w:lang w:bidi="ar"/>
              </w:rPr>
              <w:t>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tcPr>
          <w:p>
            <w:pPr>
              <w:widowControl/>
              <w:spacing w:line="360" w:lineRule="auto"/>
              <w:rPr>
                <w:rFonts w:ascii="宋体" w:cs="宋体"/>
              </w:rPr>
            </w:pPr>
            <w:r>
              <w:rPr>
                <w:rFonts w:hint="eastAsia" w:ascii="宋体" w:cs="宋体"/>
                <w:kern w:val="0"/>
                <w:szCs w:val="21"/>
                <w:lang w:bidi="ar"/>
              </w:rPr>
              <w:t>关键施工技术、工艺及工程实施的重点、难点分析。要求提炼出招标项目的关键施工工艺、施工重难点、危险性较大的专项工程等。评委根据投标文件情况分为一般、良、优，分别酌情得0-5分,5-10分,10-15</w:t>
            </w:r>
            <w:r>
              <w:rPr>
                <w:rFonts w:hint="eastAsia" w:ascii="宋体" w:cs="宋体"/>
              </w:rPr>
              <w:t>分</w:t>
            </w:r>
            <w:r>
              <w:rPr>
                <w:rFonts w:hint="eastAsia" w:ascii="宋体" w:cs="宋体"/>
                <w:kern w:val="0"/>
                <w:szCs w:val="21"/>
                <w:lang w:bidi="ar"/>
              </w:rPr>
              <w:t>，</w:t>
            </w:r>
            <w:r>
              <w:rPr>
                <w:rFonts w:hint="eastAsia" w:ascii="宋体" w:cs="宋体"/>
                <w:kern w:val="0"/>
                <w:szCs w:val="21"/>
              </w:rPr>
              <w:t>15-20</w:t>
            </w:r>
            <w:r>
              <w:rPr>
                <w:rFonts w:hint="eastAsia" w:ascii="宋体" w:cs="宋体"/>
              </w:rPr>
              <w:t>分，</w:t>
            </w:r>
            <w:r>
              <w:rPr>
                <w:rFonts w:hint="eastAsia" w:ascii="宋体" w:cs="宋体"/>
                <w:kern w:val="0"/>
                <w:szCs w:val="21"/>
                <w:lang w:bidi="ar"/>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30"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ascii="宋体" w:cs="宋体"/>
                <w:kern w:val="0"/>
                <w:szCs w:val="21"/>
                <w:lang w:bidi="ar"/>
              </w:rPr>
              <w:t>20</w:t>
            </w:r>
            <w:r>
              <w:rPr>
                <w:rFonts w:hint="eastAsia" w:ascii="宋体" w:cs="宋体"/>
                <w:kern w:val="0"/>
                <w:szCs w:val="21"/>
                <w:lang w:bidi="ar"/>
              </w:rPr>
              <w:t>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tcPr>
          <w:p>
            <w:pPr>
              <w:widowControl/>
              <w:spacing w:line="360" w:lineRule="auto"/>
              <w:rPr>
                <w:rFonts w:ascii="宋体" w:cs="宋体"/>
              </w:rPr>
            </w:pPr>
            <w:r>
              <w:rPr>
                <w:rFonts w:hint="eastAsia" w:ascii="宋体" w:cs="宋体"/>
                <w:kern w:val="0"/>
                <w:szCs w:val="21"/>
                <w:lang w:bidi="ar"/>
              </w:rPr>
              <w:t>质量保证措施。（要求针对性分析本工程容易出现的质量通病、质量控制重点和保证措施）评委根据投标文件情况分为一般、良、优，分别酌情得0-5分,5-10分,10-15</w:t>
            </w:r>
            <w:r>
              <w:rPr>
                <w:rFonts w:hint="eastAsia" w:ascii="宋体" w:cs="宋体"/>
              </w:rPr>
              <w:t>分</w:t>
            </w:r>
            <w:r>
              <w:rPr>
                <w:rFonts w:hint="eastAsia" w:ascii="宋体" w:cs="宋体"/>
                <w:kern w:val="0"/>
                <w:szCs w:val="21"/>
                <w:lang w:bidi="ar"/>
              </w:rPr>
              <w:t>，</w:t>
            </w:r>
            <w:r>
              <w:rPr>
                <w:rFonts w:hint="eastAsia" w:ascii="宋体" w:cs="宋体"/>
                <w:kern w:val="0"/>
                <w:szCs w:val="21"/>
              </w:rPr>
              <w:t>15-20</w:t>
            </w:r>
            <w:r>
              <w:rPr>
                <w:rFonts w:hint="eastAsia" w:ascii="宋体" w:cs="宋体"/>
              </w:rPr>
              <w:t>分，</w:t>
            </w:r>
            <w:r>
              <w:rPr>
                <w:rFonts w:hint="eastAsia" w:ascii="宋体" w:cs="宋体"/>
                <w:kern w:val="0"/>
                <w:szCs w:val="21"/>
                <w:lang w:bidi="ar"/>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538"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1084" w:type="dxa"/>
            <w:vMerge w:val="continue"/>
            <w:tcBorders>
              <w:top w:val="single" w:color="auto" w:sz="4" w:space="0"/>
              <w:left w:val="single" w:color="auto" w:sz="4" w:space="0"/>
              <w:bottom w:val="single" w:color="auto" w:sz="4" w:space="0"/>
              <w:right w:val="single" w:color="auto" w:sz="4" w:space="0"/>
            </w:tcBorders>
            <w:shd w:val="clear" w:color="auto" w:fill="auto"/>
            <w:noWrap/>
            <w:vAlign w:val="center"/>
          </w:tcPr>
          <w:p>
            <w:pPr>
              <w:rPr>
                <w:sz w:val="20"/>
                <w:szCs w:val="20"/>
              </w:rPr>
            </w:pPr>
          </w:p>
        </w:tc>
        <w:tc>
          <w:tcPr>
            <w:tcW w:w="887" w:type="dxa"/>
            <w:tcBorders>
              <w:top w:val="single" w:color="auto" w:sz="4" w:space="0"/>
              <w:left w:val="single" w:color="auto" w:sz="4" w:space="0"/>
              <w:bottom w:val="single" w:color="auto" w:sz="4" w:space="0"/>
              <w:right w:val="single" w:color="auto" w:sz="4" w:space="0"/>
            </w:tcBorders>
            <w:shd w:val="clear" w:color="auto" w:fill="auto"/>
            <w:noWrap/>
            <w:vAlign w:val="center"/>
          </w:tcPr>
          <w:p>
            <w:pPr>
              <w:widowControl/>
              <w:spacing w:line="360" w:lineRule="auto"/>
              <w:jc w:val="center"/>
              <w:rPr>
                <w:rFonts w:ascii="宋体" w:cs="宋体"/>
              </w:rPr>
            </w:pPr>
            <w:r>
              <w:rPr>
                <w:rFonts w:ascii="宋体" w:cs="宋体"/>
                <w:kern w:val="0"/>
                <w:szCs w:val="21"/>
                <w:lang w:bidi="ar"/>
              </w:rPr>
              <w:t>20</w:t>
            </w:r>
            <w:r>
              <w:rPr>
                <w:rFonts w:hint="eastAsia" w:ascii="宋体" w:cs="宋体"/>
                <w:kern w:val="0"/>
                <w:szCs w:val="21"/>
                <w:lang w:bidi="ar"/>
              </w:rPr>
              <w:t>分</w:t>
            </w:r>
          </w:p>
        </w:tc>
        <w:tc>
          <w:tcPr>
            <w:tcW w:w="7458" w:type="dxa"/>
            <w:tcBorders>
              <w:top w:val="single" w:color="auto" w:sz="4" w:space="0"/>
              <w:left w:val="single" w:color="auto" w:sz="4" w:space="0"/>
              <w:bottom w:val="single" w:color="auto" w:sz="4" w:space="0"/>
              <w:right w:val="single" w:color="auto" w:sz="4" w:space="0"/>
            </w:tcBorders>
            <w:shd w:val="clear" w:color="auto" w:fill="auto"/>
            <w:noWrap/>
          </w:tcPr>
          <w:p>
            <w:pPr>
              <w:widowControl/>
              <w:spacing w:line="360" w:lineRule="auto"/>
              <w:rPr>
                <w:rFonts w:ascii="宋体" w:cs="宋体"/>
              </w:rPr>
            </w:pPr>
            <w:r>
              <w:rPr>
                <w:rFonts w:hint="eastAsia" w:ascii="宋体" w:cs="宋体"/>
                <w:kern w:val="0"/>
                <w:szCs w:val="21"/>
                <w:lang w:bidi="ar"/>
              </w:rPr>
              <w:t>安全文明施工措施。（要求对安全生产、文明施工、环境保护</w:t>
            </w:r>
            <w:r>
              <w:rPr>
                <w:rFonts w:hint="eastAsia" w:ascii="宋体" w:cs="宋体"/>
                <w:kern w:val="0"/>
                <w:szCs w:val="21"/>
              </w:rPr>
              <w:t>及防尘施工措施</w:t>
            </w:r>
            <w:r>
              <w:rPr>
                <w:rFonts w:hint="eastAsia" w:ascii="宋体" w:cs="宋体"/>
                <w:kern w:val="0"/>
                <w:szCs w:val="21"/>
                <w:lang w:bidi="ar"/>
              </w:rPr>
              <w:t>，制定保证措施和承诺）。评委根据投标文件情况分为一般、良、优，</w:t>
            </w:r>
            <w:r>
              <w:rPr>
                <w:rFonts w:hint="eastAsia" w:ascii="宋体" w:hAnsi="Calibri" w:cs="宋体"/>
              </w:rPr>
              <w:t>分别酌情</w:t>
            </w:r>
            <w:r>
              <w:rPr>
                <w:rFonts w:hint="eastAsia" w:ascii="宋体" w:cs="宋体"/>
                <w:kern w:val="0"/>
                <w:szCs w:val="21"/>
                <w:lang w:bidi="ar"/>
              </w:rPr>
              <w:t>得0-5分,5-10分,10-15</w:t>
            </w:r>
            <w:r>
              <w:rPr>
                <w:rFonts w:hint="eastAsia" w:ascii="宋体" w:cs="宋体"/>
              </w:rPr>
              <w:t>分</w:t>
            </w:r>
            <w:r>
              <w:rPr>
                <w:rFonts w:hint="eastAsia" w:ascii="宋体" w:cs="宋体"/>
                <w:kern w:val="0"/>
                <w:szCs w:val="21"/>
                <w:lang w:bidi="ar"/>
              </w:rPr>
              <w:t>，</w:t>
            </w:r>
            <w:r>
              <w:rPr>
                <w:rFonts w:hint="eastAsia" w:ascii="宋体" w:cs="宋体"/>
                <w:kern w:val="0"/>
                <w:szCs w:val="21"/>
              </w:rPr>
              <w:t>15-20</w:t>
            </w:r>
            <w:r>
              <w:rPr>
                <w:rFonts w:hint="eastAsia" w:ascii="宋体" w:cs="宋体"/>
              </w:rPr>
              <w:t>分，</w:t>
            </w:r>
            <w:r>
              <w:rPr>
                <w:rFonts w:hint="eastAsia" w:ascii="宋体" w:cs="宋体"/>
                <w:kern w:val="0"/>
                <w:szCs w:val="21"/>
                <w:lang w:bidi="ar"/>
              </w:rPr>
              <w:t>内容不全酌情扣分，若此条缺项不得分。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7" w:hRule="atLeast"/>
          <w:jc w:val="center"/>
        </w:trPr>
        <w:tc>
          <w:tcPr>
            <w:tcW w:w="53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pPr>
              <w:widowControl/>
              <w:spacing w:line="360" w:lineRule="auto"/>
              <w:jc w:val="center"/>
              <w:rPr>
                <w:rFonts w:ascii="宋体" w:cs="宋体"/>
              </w:rPr>
            </w:pPr>
            <w:r>
              <w:rPr>
                <w:rFonts w:ascii="宋体" w:cs="宋体"/>
                <w:kern w:val="0"/>
                <w:szCs w:val="21"/>
                <w:lang w:bidi="ar"/>
              </w:rPr>
              <w:t>2</w:t>
            </w:r>
          </w:p>
        </w:tc>
        <w:tc>
          <w:tcPr>
            <w:tcW w:w="1084"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pPr>
              <w:widowControl/>
              <w:spacing w:line="360" w:lineRule="auto"/>
              <w:jc w:val="center"/>
              <w:rPr>
                <w:rFonts w:ascii="宋体" w:cs="宋体"/>
              </w:rPr>
            </w:pPr>
            <w:r>
              <w:rPr>
                <w:rFonts w:hint="eastAsia" w:ascii="宋体" w:cs="宋体"/>
                <w:kern w:val="0"/>
                <w:szCs w:val="21"/>
                <w:lang w:bidi="ar"/>
              </w:rPr>
              <w:t>合计</w:t>
            </w:r>
          </w:p>
        </w:tc>
        <w:tc>
          <w:tcPr>
            <w:tcW w:w="887"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pPr>
              <w:widowControl/>
              <w:spacing w:line="360" w:lineRule="auto"/>
              <w:jc w:val="center"/>
              <w:rPr>
                <w:rFonts w:ascii="宋体" w:cs="宋体"/>
              </w:rPr>
            </w:pPr>
            <w:r>
              <w:rPr>
                <w:rFonts w:hint="eastAsia" w:ascii="宋体" w:cs="宋体"/>
                <w:kern w:val="0"/>
                <w:szCs w:val="21"/>
                <w:lang w:bidi="ar"/>
              </w:rPr>
              <w:t>100分</w:t>
            </w:r>
          </w:p>
        </w:tc>
        <w:tc>
          <w:tcPr>
            <w:tcW w:w="7458" w:type="dxa"/>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pPr>
              <w:widowControl/>
              <w:spacing w:line="360" w:lineRule="auto"/>
              <w:rPr>
                <w:rFonts w:ascii="宋体" w:cs="宋体"/>
              </w:rPr>
            </w:pPr>
            <w:r>
              <w:rPr>
                <w:rFonts w:hint="eastAsia" w:ascii="宋体" w:cs="宋体"/>
                <w:kern w:val="0"/>
                <w:szCs w:val="21"/>
                <w:lang w:bidi="ar"/>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32" w:hRule="atLeast"/>
          <w:jc w:val="center"/>
        </w:trPr>
        <w:tc>
          <w:tcPr>
            <w:tcW w:w="9967" w:type="dxa"/>
            <w:gridSpan w:val="4"/>
            <w:tcBorders>
              <w:top w:val="single" w:color="auto" w:sz="2" w:space="0"/>
              <w:left w:val="single" w:color="auto" w:sz="2" w:space="0"/>
              <w:bottom w:val="single" w:color="auto" w:sz="2" w:space="0"/>
              <w:right w:val="single" w:color="auto" w:sz="2" w:space="0"/>
            </w:tcBorders>
            <w:shd w:val="clear" w:color="auto" w:fill="auto"/>
            <w:noWrap/>
            <w:tcMar>
              <w:left w:w="91" w:type="dxa"/>
            </w:tcMar>
            <w:vAlign w:val="center"/>
          </w:tcPr>
          <w:p>
            <w:pPr>
              <w:widowControl/>
              <w:spacing w:line="360" w:lineRule="auto"/>
              <w:rPr>
                <w:rFonts w:ascii="宋体" w:cs="宋体"/>
                <w:b/>
                <w:kern w:val="0"/>
                <w:szCs w:val="21"/>
                <w:lang w:bidi="ar"/>
              </w:rPr>
            </w:pPr>
            <w:r>
              <w:rPr>
                <w:rFonts w:hint="eastAsia" w:ascii="宋体" w:cs="宋体"/>
                <w:b/>
                <w:kern w:val="0"/>
                <w:szCs w:val="21"/>
                <w:lang w:bidi="ar"/>
              </w:rPr>
              <w:t>1、投标人技术标的最终得分为所有评委打分汇总后的算术平均值。</w:t>
            </w:r>
          </w:p>
          <w:p>
            <w:pPr>
              <w:pStyle w:val="2"/>
              <w:ind w:left="0" w:leftChars="0" w:firstLine="0" w:firstLineChars="0"/>
              <w:rPr>
                <w:lang w:bidi="ar"/>
              </w:rPr>
            </w:pPr>
            <w:r>
              <w:rPr>
                <w:rFonts w:hint="eastAsia" w:ascii="宋体" w:cs="宋体"/>
                <w:b/>
                <w:kern w:val="0"/>
                <w:szCs w:val="21"/>
              </w:rPr>
              <w:t>2、技术标根据评分办法进行打分，技术标评标小组推荐至少3家技术得分</w:t>
            </w:r>
            <w:r>
              <w:rPr>
                <w:rFonts w:ascii="宋体" w:cs="宋体"/>
                <w:b/>
                <w:kern w:val="0"/>
                <w:szCs w:val="21"/>
                <w:u w:val="single"/>
              </w:rPr>
              <w:t>70</w:t>
            </w:r>
            <w:r>
              <w:rPr>
                <w:rFonts w:hint="eastAsia" w:ascii="宋体" w:cs="宋体"/>
                <w:b/>
                <w:kern w:val="0"/>
                <w:szCs w:val="21"/>
                <w:u w:val="single"/>
              </w:rPr>
              <w:t>分</w:t>
            </w:r>
            <w:r>
              <w:rPr>
                <w:rFonts w:hint="eastAsia" w:ascii="宋体" w:cs="宋体"/>
                <w:b/>
                <w:kern w:val="0"/>
                <w:szCs w:val="21"/>
              </w:rPr>
              <w:t>（含）以上的投标人进入商务标。技术入围投标人不足三家时，本次按废标处理，招标人有权根据招标采购管理流程重新组织招标。</w:t>
            </w:r>
          </w:p>
        </w:tc>
      </w:tr>
    </w:tbl>
    <w:p>
      <w:pPr>
        <w:pStyle w:val="62"/>
        <w:spacing w:before="0" w:after="0"/>
        <w:rPr>
          <w:rStyle w:val="58"/>
          <w:rFonts w:ascii="宋体" w:hAnsi="宋体"/>
          <w:sz w:val="24"/>
        </w:rPr>
      </w:pPr>
    </w:p>
    <w:p>
      <w:pPr>
        <w:pStyle w:val="62"/>
        <w:spacing w:before="0" w:after="0"/>
        <w:jc w:val="center"/>
        <w:rPr>
          <w:rStyle w:val="58"/>
          <w:rFonts w:ascii="宋体" w:hAnsi="宋体"/>
          <w:sz w:val="24"/>
        </w:rPr>
      </w:pPr>
    </w:p>
    <w:p>
      <w:pPr>
        <w:pStyle w:val="62"/>
        <w:spacing w:before="0" w:after="0"/>
        <w:jc w:val="center"/>
        <w:rPr>
          <w:rStyle w:val="58"/>
          <w:rFonts w:ascii="宋体" w:hAnsi="宋体"/>
          <w:sz w:val="24"/>
        </w:rPr>
      </w:pPr>
      <w:r>
        <w:rPr>
          <w:rStyle w:val="58"/>
          <w:rFonts w:ascii="宋体" w:hAnsi="宋体"/>
          <w:sz w:val="24"/>
        </w:rPr>
        <w:t>商务标评分细则</w:t>
      </w:r>
    </w:p>
    <w:tbl>
      <w:tblPr>
        <w:tblStyle w:val="37"/>
        <w:tblW w:w="984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10"/>
        <w:gridCol w:w="1676"/>
        <w:gridCol w:w="699"/>
        <w:gridCol w:w="6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4"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ascii="宋体" w:hAnsi="宋体"/>
                <w:bCs/>
              </w:rPr>
              <w:t>序号</w:t>
            </w:r>
          </w:p>
        </w:tc>
        <w:tc>
          <w:tcPr>
            <w:tcW w:w="167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ascii="宋体" w:hAnsi="宋体"/>
                <w:bCs/>
              </w:rPr>
              <w:t>类别</w:t>
            </w:r>
          </w:p>
        </w:tc>
        <w:tc>
          <w:tcPr>
            <w:tcW w:w="69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ascii="宋体" w:hAnsi="宋体"/>
                <w:bCs/>
              </w:rPr>
              <w:t>满分</w:t>
            </w:r>
          </w:p>
        </w:tc>
        <w:tc>
          <w:tcPr>
            <w:tcW w:w="676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 w:val="20"/>
                <w:szCs w:val="22"/>
              </w:rPr>
            </w:pPr>
            <w:r>
              <w:rPr>
                <w:rFonts w:hint="eastAsia" w:ascii="宋体" w:hAnsi="宋体" w:cs="宋体"/>
              </w:rPr>
              <w:t>得   分   标   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52" w:hRule="atLeast"/>
          <w:jc w:val="center"/>
        </w:trPr>
        <w:tc>
          <w:tcPr>
            <w:tcW w:w="71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ascii="宋体" w:hAnsi="宋体"/>
                <w:bCs/>
              </w:rPr>
              <w:t>1</w:t>
            </w:r>
          </w:p>
        </w:tc>
        <w:tc>
          <w:tcPr>
            <w:tcW w:w="167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ascii="宋体" w:hAnsi="宋体"/>
                <w:bCs/>
              </w:rPr>
              <w:t>工程总报价</w:t>
            </w:r>
          </w:p>
        </w:tc>
        <w:tc>
          <w:tcPr>
            <w:tcW w:w="69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rPr>
            </w:pPr>
            <w:r>
              <w:rPr>
                <w:rStyle w:val="58"/>
                <w:rFonts w:hint="eastAsia" w:ascii="宋体" w:hAnsi="宋体"/>
                <w:bCs/>
              </w:rPr>
              <w:t>/</w:t>
            </w:r>
          </w:p>
        </w:tc>
        <w:tc>
          <w:tcPr>
            <w:tcW w:w="6764" w:type="dxa"/>
            <w:tcBorders>
              <w:top w:val="single" w:color="000000" w:sz="4" w:space="0"/>
              <w:left w:val="single" w:color="000000" w:sz="4" w:space="0"/>
              <w:bottom w:val="single" w:color="000000" w:sz="4" w:space="0"/>
              <w:right w:val="single" w:color="000000" w:sz="4" w:space="0"/>
            </w:tcBorders>
            <w:vAlign w:val="center"/>
          </w:tcPr>
          <w:p>
            <w:pPr>
              <w:spacing w:line="360" w:lineRule="auto"/>
              <w:ind w:firstLine="420" w:firstLineChars="200"/>
              <w:jc w:val="left"/>
              <w:rPr>
                <w:rFonts w:ascii="宋体" w:hAnsi="宋体" w:cs="宋体"/>
                <w:bCs/>
                <w:szCs w:val="21"/>
                <w:lang w:bidi="ar"/>
              </w:rPr>
            </w:pPr>
            <w:r>
              <w:rPr>
                <w:rFonts w:hint="eastAsia" w:ascii="宋体" w:hAnsi="宋体" w:cs="宋体"/>
                <w:bCs/>
                <w:szCs w:val="21"/>
                <w:lang w:bidi="ar"/>
              </w:rPr>
              <w:t>在开标价的基础上进行至少3轮商务谈判并实行淘汰制，</w:t>
            </w:r>
            <w:r>
              <w:rPr>
                <w:rFonts w:hint="eastAsia" w:ascii="宋体" w:cs="宋体"/>
                <w:bCs/>
                <w:kern w:val="0"/>
                <w:szCs w:val="21"/>
                <w:lang w:bidi="ar"/>
              </w:rPr>
              <w:t>根据最终有效报价的由低到高进行排序，报价最低者排名第一，报价次低者排名第二，以此类推，报价最高者排名最后。</w:t>
            </w:r>
            <w:r>
              <w:rPr>
                <w:rFonts w:hint="eastAsia" w:ascii="宋体" w:hAnsi="宋体" w:cs="宋体"/>
                <w:bCs/>
                <w:szCs w:val="21"/>
                <w:lang w:bidi="ar"/>
              </w:rPr>
              <w:t>最终排名第一的推荐为拟中标人，但是报价明显低于成本的除外。</w:t>
            </w:r>
          </w:p>
          <w:p>
            <w:pPr>
              <w:spacing w:line="360" w:lineRule="auto"/>
              <w:ind w:firstLine="422" w:firstLineChars="200"/>
              <w:jc w:val="left"/>
              <w:rPr>
                <w:rFonts w:ascii="宋体" w:hAnsi="宋体" w:cs="宋体"/>
                <w:b/>
                <w:szCs w:val="21"/>
              </w:rPr>
            </w:pPr>
            <w:r>
              <w:rPr>
                <w:rFonts w:hint="eastAsia" w:ascii="宋体" w:hAnsi="宋体" w:cs="宋体"/>
                <w:b/>
                <w:szCs w:val="21"/>
              </w:rPr>
              <w:t>不允许采用不平衡报价。</w:t>
            </w:r>
          </w:p>
          <w:p>
            <w:pPr>
              <w:spacing w:line="360" w:lineRule="auto"/>
              <w:ind w:firstLine="422" w:firstLineChars="200"/>
              <w:jc w:val="left"/>
              <w:rPr>
                <w:rFonts w:ascii="宋体" w:cs="宋体"/>
                <w:b/>
                <w:kern w:val="0"/>
                <w:szCs w:val="21"/>
                <w:lang w:bidi="ar"/>
              </w:rPr>
            </w:pPr>
            <w:r>
              <w:rPr>
                <w:rFonts w:hint="eastAsia" w:ascii="宋体" w:cs="宋体"/>
                <w:b/>
                <w:kern w:val="0"/>
                <w:szCs w:val="21"/>
                <w:lang w:bidi="ar"/>
              </w:rPr>
              <w:t>开标清标后按照招标人清标发现的问题进行纠偏调整，形成修正版工程量清单并同步修正开标报价（但不得高于开标唱标价），推荐拟中标价格以此修正版清单进行同比例下浮，下浮系数=商务标最后一轮澄清总报价/开标清标修正后的总报价。单独澄清的清单项除外。</w:t>
            </w:r>
          </w:p>
          <w:p>
            <w:pPr>
              <w:spacing w:line="360" w:lineRule="auto"/>
              <w:ind w:firstLine="422" w:firstLineChars="200"/>
              <w:jc w:val="left"/>
            </w:pPr>
            <w:r>
              <w:rPr>
                <w:rFonts w:hint="eastAsia" w:ascii="宋体" w:cs="宋体"/>
                <w:b/>
                <w:kern w:val="0"/>
                <w:szCs w:val="21"/>
                <w:lang w:bidi="ar"/>
              </w:rPr>
              <w:t>招标人对下浮后的工程量清单价格进一步价格审核，如发现不平衡报价，招标人有权对其高报价部分予以调低，同时降低拟中标总价。</w:t>
            </w:r>
          </w:p>
        </w:tc>
      </w:tr>
    </w:tbl>
    <w:p>
      <w:pPr>
        <w:pStyle w:val="19"/>
        <w:rPr>
          <w:lang w:bidi="en-US"/>
        </w:rPr>
      </w:pPr>
    </w:p>
    <w:p>
      <w:pPr>
        <w:pStyle w:val="7"/>
        <w:spacing w:before="0" w:after="0"/>
        <w:jc w:val="center"/>
        <w:rPr>
          <w:sz w:val="30"/>
          <w:szCs w:val="30"/>
        </w:rPr>
      </w:pPr>
      <w:bookmarkStart w:id="86" w:name="_Toc211261914"/>
      <w:bookmarkStart w:id="87" w:name="_Toc29153"/>
      <w:bookmarkStart w:id="88" w:name="_Toc32749"/>
      <w:r>
        <w:rPr>
          <w:sz w:val="30"/>
          <w:szCs w:val="30"/>
        </w:rPr>
        <w:t>二、评标办法</w:t>
      </w:r>
      <w:bookmarkEnd w:id="84"/>
      <w:bookmarkEnd w:id="85"/>
      <w:bookmarkEnd w:id="86"/>
      <w:bookmarkEnd w:id="87"/>
      <w:bookmarkEnd w:id="88"/>
    </w:p>
    <w:p>
      <w:pPr>
        <w:pStyle w:val="62"/>
        <w:spacing w:before="0" w:after="0"/>
        <w:rPr>
          <w:rStyle w:val="58"/>
          <w:rFonts w:ascii="宋体" w:hAnsi="宋体"/>
          <w:sz w:val="24"/>
        </w:rPr>
      </w:pPr>
      <w:r>
        <w:rPr>
          <w:rStyle w:val="58"/>
          <w:rFonts w:ascii="宋体" w:hAnsi="宋体"/>
          <w:sz w:val="24"/>
        </w:rPr>
        <w:t>1. 评标方法</w:t>
      </w:r>
    </w:p>
    <w:p>
      <w:pPr>
        <w:spacing w:line="360" w:lineRule="auto"/>
        <w:rPr>
          <w:rStyle w:val="58"/>
          <w:rFonts w:ascii="宋体" w:hAnsi="宋体"/>
          <w:b/>
        </w:rPr>
      </w:pPr>
      <w:r>
        <w:rPr>
          <w:rStyle w:val="58"/>
          <w:rFonts w:ascii="宋体" w:hAnsi="宋体"/>
          <w:b/>
        </w:rPr>
        <w:t>1.1评标方法</w:t>
      </w:r>
    </w:p>
    <w:p>
      <w:pPr>
        <w:pStyle w:val="2"/>
        <w:ind w:left="0" w:leftChars="0" w:firstLine="211" w:firstLineChars="100"/>
        <w:rPr>
          <w:rFonts w:hint="default" w:eastAsia="宋体"/>
          <w:lang w:val="en-US" w:eastAsia="zh-CN"/>
        </w:rPr>
      </w:pPr>
      <w:r>
        <w:rPr>
          <w:rStyle w:val="58"/>
          <w:rFonts w:hint="eastAsia" w:ascii="宋体" w:hAnsi="宋体"/>
          <w:b/>
          <w:lang w:val="en-US" w:eastAsia="zh-CN"/>
        </w:rPr>
        <w:t>合理最低价</w:t>
      </w:r>
    </w:p>
    <w:p>
      <w:pPr>
        <w:spacing w:line="360" w:lineRule="auto"/>
        <w:rPr>
          <w:rStyle w:val="58"/>
          <w:rFonts w:ascii="宋体" w:hAnsi="宋体"/>
          <w:b/>
        </w:rPr>
      </w:pPr>
      <w:r>
        <w:rPr>
          <w:rStyle w:val="58"/>
          <w:rFonts w:ascii="宋体" w:hAnsi="宋体"/>
          <w:b/>
          <w:highlight w:val="yellow"/>
        </w:rPr>
        <w:t>1.2评分及排序</w:t>
      </w:r>
    </w:p>
    <w:p>
      <w:pPr>
        <w:spacing w:line="360" w:lineRule="auto"/>
        <w:ind w:firstLine="422" w:firstLineChars="200"/>
        <w:rPr>
          <w:rStyle w:val="58"/>
          <w:rFonts w:ascii="宋体" w:hAnsi="宋体"/>
          <w:b/>
          <w:bCs/>
        </w:rPr>
      </w:pPr>
      <w:r>
        <w:rPr>
          <w:rStyle w:val="58"/>
          <w:rFonts w:hint="eastAsia" w:ascii="宋体" w:hAnsi="宋体"/>
          <w:b/>
          <w:bCs/>
        </w:rPr>
        <w:t>技术标和商务标同时开标、分阶段评标的模式</w:t>
      </w:r>
      <w:r>
        <w:rPr>
          <w:rStyle w:val="58"/>
          <w:rFonts w:ascii="宋体" w:hAnsi="宋体"/>
          <w:b/>
          <w:bCs/>
        </w:rPr>
        <w:t>。</w:t>
      </w:r>
    </w:p>
    <w:p>
      <w:pPr>
        <w:spacing w:line="360" w:lineRule="auto"/>
        <w:ind w:firstLine="422" w:firstLineChars="200"/>
        <w:rPr>
          <w:rStyle w:val="58"/>
          <w:b/>
          <w:bCs/>
        </w:rPr>
      </w:pPr>
      <w:r>
        <w:rPr>
          <w:rStyle w:val="58"/>
          <w:rFonts w:hint="eastAsia"/>
          <w:b/>
          <w:bCs/>
        </w:rPr>
        <w:t>首先进行技术标评审，由评标专家组对所有投标方的技术标部分综合评定和打分，确定进入商务标评比资格的投标方（技术标评分不带入商务标）。</w:t>
      </w:r>
    </w:p>
    <w:p>
      <w:pPr>
        <w:spacing w:line="360" w:lineRule="auto"/>
        <w:ind w:firstLine="422" w:firstLineChars="200"/>
        <w:rPr>
          <w:rStyle w:val="58"/>
          <w:rFonts w:hAnsi="宋体"/>
          <w:b/>
          <w:bCs/>
        </w:rPr>
      </w:pPr>
      <w:r>
        <w:rPr>
          <w:rStyle w:val="58"/>
          <w:rFonts w:hint="eastAsia"/>
          <w:b/>
          <w:bCs/>
        </w:rPr>
        <w:t>然后进行商务标的评标，</w:t>
      </w:r>
      <w:r>
        <w:rPr>
          <w:rStyle w:val="58"/>
          <w:rFonts w:hint="eastAsia" w:hAnsi="宋体"/>
          <w:b/>
          <w:bCs/>
        </w:rPr>
        <w:t>招标人有权根据项目情况，商务标采取多轮（至少3轮）评标模式，最终根据商务标的报价确定各投标人排序，原则上按照评标合理最低价确定推荐中标人（不保证最低价格中标），对未中标单位不做任何解释。</w:t>
      </w:r>
    </w:p>
    <w:p>
      <w:pPr>
        <w:spacing w:line="360" w:lineRule="auto"/>
        <w:rPr>
          <w:b/>
          <w:bCs/>
        </w:rPr>
      </w:pPr>
      <w:r>
        <w:rPr>
          <w:rStyle w:val="58"/>
          <w:rFonts w:hint="eastAsia" w:ascii="宋体" w:hAnsi="宋体"/>
          <w:b/>
          <w:bCs/>
          <w:szCs w:val="22"/>
        </w:rPr>
        <w:t>1.3招标人有权根据项目情况，采取多轮报价模式。</w:t>
      </w:r>
      <w:r>
        <w:rPr>
          <w:rStyle w:val="58"/>
          <w:rFonts w:hint="eastAsia" w:hAnsi="宋体"/>
          <w:b/>
          <w:bCs/>
          <w:szCs w:val="22"/>
        </w:rPr>
        <w:t>除开标唱标为公开报价方式外，后续多轮澄清报价均为非公开的方式，投标人在重汽</w:t>
      </w:r>
      <w:r>
        <w:rPr>
          <w:rStyle w:val="58"/>
          <w:rFonts w:hAnsi="宋体"/>
          <w:b/>
          <w:bCs/>
          <w:szCs w:val="22"/>
        </w:rPr>
        <w:t>e</w:t>
      </w:r>
      <w:r>
        <w:rPr>
          <w:rStyle w:val="58"/>
          <w:rFonts w:hint="eastAsia" w:hAnsi="宋体"/>
          <w:b/>
          <w:bCs/>
          <w:szCs w:val="22"/>
        </w:rPr>
        <w:t>采通进行提报报价。</w:t>
      </w:r>
    </w:p>
    <w:p>
      <w:pPr>
        <w:pStyle w:val="62"/>
        <w:spacing w:before="0" w:after="0"/>
        <w:rPr>
          <w:rStyle w:val="58"/>
          <w:rFonts w:ascii="宋体" w:hAnsi="宋体"/>
          <w:sz w:val="24"/>
        </w:rPr>
      </w:pPr>
      <w:r>
        <w:rPr>
          <w:rStyle w:val="58"/>
          <w:rFonts w:ascii="宋体" w:hAnsi="宋体"/>
          <w:sz w:val="24"/>
        </w:rPr>
        <w:t>2. 评标程序</w:t>
      </w:r>
    </w:p>
    <w:p>
      <w:pPr>
        <w:spacing w:line="360" w:lineRule="auto"/>
        <w:rPr>
          <w:rStyle w:val="58"/>
          <w:rFonts w:ascii="宋体" w:hAnsi="宋体"/>
          <w:b/>
        </w:rPr>
      </w:pPr>
      <w:r>
        <w:rPr>
          <w:rStyle w:val="58"/>
          <w:rFonts w:ascii="宋体" w:hAnsi="宋体"/>
          <w:b/>
        </w:rPr>
        <w:t>2.1 初步评审</w:t>
      </w:r>
    </w:p>
    <w:p>
      <w:pPr>
        <w:spacing w:line="360" w:lineRule="auto"/>
        <w:rPr>
          <w:rStyle w:val="58"/>
          <w:rFonts w:ascii="宋体" w:hAnsi="宋体"/>
        </w:rPr>
      </w:pPr>
      <w:r>
        <w:rPr>
          <w:rStyle w:val="58"/>
          <w:rFonts w:ascii="宋体" w:hAnsi="宋体"/>
        </w:rPr>
        <w:t>2.1.1 评标委员会可以要求投标人提交第九章资格审查文件规定的有关证明和证件的原件，以便核验。评标委员会对投标文件进行初步评审。有一项不符合</w:t>
      </w:r>
      <w:r>
        <w:rPr>
          <w:rStyle w:val="58"/>
          <w:rFonts w:hint="eastAsia" w:ascii="宋体" w:hAnsi="宋体"/>
        </w:rPr>
        <w:t>资格要求</w:t>
      </w:r>
      <w:r>
        <w:rPr>
          <w:rStyle w:val="58"/>
          <w:rFonts w:ascii="宋体" w:hAnsi="宋体"/>
        </w:rPr>
        <w:t>的，作</w:t>
      </w:r>
      <w:r>
        <w:rPr>
          <w:rStyle w:val="58"/>
          <w:rFonts w:hint="eastAsia" w:ascii="宋体" w:hAnsi="宋体"/>
        </w:rPr>
        <w:t>无效标</w:t>
      </w:r>
      <w:r>
        <w:rPr>
          <w:rStyle w:val="58"/>
          <w:rFonts w:ascii="宋体" w:hAnsi="宋体"/>
        </w:rPr>
        <w:t>处理。</w:t>
      </w:r>
    </w:p>
    <w:p>
      <w:pPr>
        <w:spacing w:line="360" w:lineRule="auto"/>
        <w:rPr>
          <w:rStyle w:val="58"/>
          <w:rFonts w:ascii="宋体" w:hAnsi="宋体"/>
          <w:b/>
        </w:rPr>
      </w:pPr>
      <w:r>
        <w:rPr>
          <w:rStyle w:val="58"/>
          <w:rFonts w:ascii="宋体" w:hAnsi="宋体"/>
        </w:rPr>
        <w:t>2.1.2 投标人有以下情形之一的，其投标作废标处理：</w:t>
      </w:r>
      <w:r>
        <w:rPr>
          <w:rStyle w:val="58"/>
          <w:rFonts w:ascii="宋体" w:hAnsi="宋体"/>
          <w:b/>
        </w:rPr>
        <w:t>详</w:t>
      </w:r>
      <w:r>
        <w:rPr>
          <w:rStyle w:val="45"/>
          <w:rFonts w:ascii="宋体" w:hAnsi="宋体"/>
          <w:b/>
          <w:color w:val="auto"/>
        </w:rPr>
        <w:t>附件B</w:t>
      </w:r>
      <w:r>
        <w:rPr>
          <w:rStyle w:val="58"/>
          <w:rFonts w:ascii="宋体" w:hAnsi="宋体"/>
          <w:b/>
        </w:rPr>
        <w:t>：废标条件</w:t>
      </w:r>
    </w:p>
    <w:p>
      <w:pPr>
        <w:spacing w:line="360" w:lineRule="auto"/>
        <w:rPr>
          <w:rStyle w:val="58"/>
          <w:rFonts w:ascii="宋体" w:hAnsi="宋体"/>
        </w:rPr>
      </w:pPr>
      <w:r>
        <w:rPr>
          <w:rStyle w:val="58"/>
          <w:rFonts w:ascii="宋体" w:hAnsi="宋体"/>
        </w:rPr>
        <w:t>2.1.3投标报价有算术错误的，评标委员会按以下原则对投标报价进行修正，修正的价格经投标人书面确认后具有约束力。投标人不接受修正价格的，其投标作</w:t>
      </w:r>
      <w:r>
        <w:rPr>
          <w:rStyle w:val="58"/>
          <w:rFonts w:hint="eastAsia" w:ascii="宋体" w:hAnsi="宋体"/>
        </w:rPr>
        <w:t>无效</w:t>
      </w:r>
      <w:r>
        <w:rPr>
          <w:rStyle w:val="58"/>
          <w:rFonts w:ascii="宋体" w:hAnsi="宋体"/>
        </w:rPr>
        <w:t>标处理。</w:t>
      </w:r>
    </w:p>
    <w:p>
      <w:pPr>
        <w:spacing w:line="360" w:lineRule="auto"/>
        <w:rPr>
          <w:rStyle w:val="58"/>
          <w:rFonts w:ascii="宋体" w:hAnsi="宋体"/>
        </w:rPr>
      </w:pPr>
      <w:r>
        <w:rPr>
          <w:rStyle w:val="58"/>
          <w:rFonts w:ascii="宋体" w:hAnsi="宋体"/>
        </w:rPr>
        <w:t>（1）投标文件中的大写金额与小写金额不一致的，以大写金额为准；</w:t>
      </w:r>
    </w:p>
    <w:p>
      <w:pPr>
        <w:spacing w:line="360" w:lineRule="auto"/>
        <w:rPr>
          <w:rStyle w:val="58"/>
          <w:rFonts w:ascii="宋体" w:hAnsi="宋体"/>
        </w:rPr>
      </w:pPr>
      <w:r>
        <w:rPr>
          <w:rStyle w:val="58"/>
          <w:rFonts w:ascii="宋体" w:hAnsi="宋体"/>
        </w:rPr>
        <w:t>（2）总价金额与依据单价计算出的结果不一致的，以</w:t>
      </w:r>
      <w:r>
        <w:rPr>
          <w:rStyle w:val="58"/>
          <w:rFonts w:hint="eastAsia" w:ascii="宋体" w:hAnsi="宋体"/>
        </w:rPr>
        <w:t>总</w:t>
      </w:r>
      <w:r>
        <w:rPr>
          <w:rStyle w:val="58"/>
          <w:rFonts w:ascii="宋体" w:hAnsi="宋体"/>
        </w:rPr>
        <w:t>价金额为准修正</w:t>
      </w:r>
      <w:r>
        <w:rPr>
          <w:rStyle w:val="58"/>
          <w:rFonts w:hint="eastAsia" w:ascii="宋体" w:hAnsi="宋体"/>
        </w:rPr>
        <w:t>单</w:t>
      </w:r>
      <w:r>
        <w:rPr>
          <w:rStyle w:val="58"/>
          <w:rFonts w:ascii="宋体" w:hAnsi="宋体"/>
        </w:rPr>
        <w:t>价。</w:t>
      </w:r>
    </w:p>
    <w:p>
      <w:pPr>
        <w:spacing w:line="360" w:lineRule="auto"/>
        <w:rPr>
          <w:rStyle w:val="58"/>
          <w:rFonts w:ascii="宋体" w:hAnsi="宋体"/>
        </w:rPr>
      </w:pPr>
      <w:r>
        <w:rPr>
          <w:rStyle w:val="58"/>
          <w:rFonts w:ascii="宋体" w:hAnsi="宋体"/>
        </w:rPr>
        <w:t>（3）唱标单报价与投标报价文件中价格不一致的，评标过程中，评定内容的具体数据以单独递交的唱标单报价为准，签订合同及后期结算时，以价格低的为准，价格根据下浮率同比例下调。</w:t>
      </w:r>
    </w:p>
    <w:p>
      <w:pPr>
        <w:spacing w:line="480" w:lineRule="exact"/>
        <w:rPr>
          <w:rStyle w:val="58"/>
          <w:rFonts w:ascii="宋体" w:hAnsi="宋体"/>
          <w:b/>
        </w:rPr>
      </w:pPr>
      <w:r>
        <w:rPr>
          <w:rStyle w:val="58"/>
          <w:rFonts w:ascii="宋体" w:hAnsi="宋体"/>
          <w:b/>
        </w:rPr>
        <w:t>2.1.4投标人有下列情形之一的视为无效投标：</w:t>
      </w:r>
    </w:p>
    <w:p>
      <w:pPr>
        <w:spacing w:line="480" w:lineRule="exact"/>
        <w:rPr>
          <w:rStyle w:val="58"/>
          <w:rFonts w:ascii="宋体" w:hAnsi="宋体"/>
        </w:rPr>
      </w:pPr>
      <w:r>
        <w:rPr>
          <w:rStyle w:val="58"/>
          <w:rFonts w:ascii="宋体" w:hAnsi="宋体"/>
        </w:rPr>
        <w:t>（1）参加开标会议的投标人的法定代表人或其委托代理人未携带本人身份证，委托代理人未携带参加开标会议的法定代表人授权委托书，法定代表人未携带法定代表人证书，无法证明其身份的；</w:t>
      </w:r>
    </w:p>
    <w:p>
      <w:pPr>
        <w:spacing w:line="480" w:lineRule="exact"/>
        <w:rPr>
          <w:rStyle w:val="58"/>
          <w:rFonts w:ascii="宋体" w:hAnsi="宋体"/>
        </w:rPr>
      </w:pPr>
      <w:r>
        <w:rPr>
          <w:rStyle w:val="58"/>
          <w:rFonts w:ascii="宋体" w:hAnsi="宋体"/>
        </w:rPr>
        <w:t>（2）无单位盖章并无法定代表人或法定代表人授权的代理人签字或盖章的；</w:t>
      </w:r>
    </w:p>
    <w:p>
      <w:pPr>
        <w:spacing w:line="480" w:lineRule="exact"/>
        <w:rPr>
          <w:rStyle w:val="58"/>
          <w:rFonts w:ascii="宋体" w:hAnsi="宋体"/>
        </w:rPr>
      </w:pPr>
      <w:r>
        <w:rPr>
          <w:rStyle w:val="58"/>
          <w:rFonts w:ascii="宋体" w:hAnsi="宋体"/>
        </w:rPr>
        <w:t>（3）未按规定格式填写，内容不全或关键字迹模糊、无法辨认的；</w:t>
      </w:r>
    </w:p>
    <w:p>
      <w:pPr>
        <w:spacing w:line="480" w:lineRule="exact"/>
        <w:rPr>
          <w:rStyle w:val="58"/>
          <w:rFonts w:ascii="宋体" w:hAnsi="宋体"/>
        </w:rPr>
      </w:pPr>
      <w:r>
        <w:rPr>
          <w:rStyle w:val="58"/>
          <w:rFonts w:ascii="宋体" w:hAnsi="宋体"/>
        </w:rPr>
        <w:t>（4）投标人递交两份或多份内容不同的投标文件，或在一份投标文件中对同一招标项目抱有两个或多个报价，且未声明哪一个有效，按招标文件规定提交备选投标方案的除外；</w:t>
      </w:r>
    </w:p>
    <w:p>
      <w:pPr>
        <w:spacing w:line="480" w:lineRule="exact"/>
        <w:rPr>
          <w:rStyle w:val="58"/>
          <w:rFonts w:ascii="宋体" w:hAnsi="宋体"/>
        </w:rPr>
      </w:pPr>
      <w:r>
        <w:rPr>
          <w:rStyle w:val="58"/>
          <w:rFonts w:ascii="宋体" w:hAnsi="宋体"/>
        </w:rPr>
        <w:t>（5）投标人名称或组织结构与资格预审时不一致（资格预审的）；</w:t>
      </w:r>
    </w:p>
    <w:p>
      <w:pPr>
        <w:spacing w:line="480" w:lineRule="exact"/>
        <w:rPr>
          <w:rStyle w:val="58"/>
          <w:rFonts w:ascii="宋体" w:hAnsi="宋体"/>
        </w:rPr>
      </w:pPr>
      <w:r>
        <w:rPr>
          <w:rStyle w:val="58"/>
          <w:rFonts w:ascii="宋体" w:hAnsi="宋体"/>
        </w:rPr>
        <w:t>（6）投标人未按投标文件的要求提交投标保证金的；</w:t>
      </w:r>
    </w:p>
    <w:p>
      <w:pPr>
        <w:spacing w:line="480" w:lineRule="exact"/>
        <w:rPr>
          <w:rStyle w:val="58"/>
          <w:rFonts w:ascii="宋体" w:hAnsi="宋体"/>
        </w:rPr>
      </w:pPr>
      <w:r>
        <w:rPr>
          <w:rStyle w:val="58"/>
          <w:rFonts w:ascii="宋体" w:hAnsi="宋体"/>
        </w:rPr>
        <w:t>（7）联合体投标未附联合体各方共同投标协议的（允许联合体投标的）；</w:t>
      </w:r>
    </w:p>
    <w:p>
      <w:pPr>
        <w:spacing w:line="480" w:lineRule="exact"/>
        <w:rPr>
          <w:rStyle w:val="58"/>
          <w:rFonts w:ascii="宋体" w:hAnsi="宋体"/>
        </w:rPr>
      </w:pPr>
      <w:bookmarkStart w:id="89" w:name="_Toc16063905"/>
      <w:r>
        <w:rPr>
          <w:rStyle w:val="58"/>
          <w:rFonts w:ascii="宋体" w:hAnsi="宋体"/>
        </w:rPr>
        <w:t>（8）投标文件未按照招标文件的要求予以密封的；</w:t>
      </w:r>
      <w:bookmarkEnd w:id="89"/>
    </w:p>
    <w:p>
      <w:pPr>
        <w:spacing w:line="480" w:lineRule="exact"/>
        <w:rPr>
          <w:rStyle w:val="58"/>
          <w:rFonts w:ascii="宋体" w:hAnsi="宋体"/>
        </w:rPr>
      </w:pPr>
      <w:r>
        <w:rPr>
          <w:rStyle w:val="58"/>
          <w:rFonts w:ascii="宋体" w:hAnsi="宋体"/>
        </w:rPr>
        <w:t>（9）投标文件中的投标函未加盖投标人的企业及企业法定代表人印章的，或者企业法定代表人委托代理人没有合法、有效的委托书（原件）及委托代理人印章的；</w:t>
      </w:r>
    </w:p>
    <w:p>
      <w:pPr>
        <w:spacing w:line="480" w:lineRule="exact"/>
        <w:rPr>
          <w:rStyle w:val="58"/>
          <w:rFonts w:ascii="宋体" w:hAnsi="宋体"/>
        </w:rPr>
      </w:pPr>
      <w:r>
        <w:rPr>
          <w:rStyle w:val="58"/>
          <w:rFonts w:ascii="宋体" w:hAnsi="宋体"/>
        </w:rPr>
        <w:t>（10）资格审查未通过的</w:t>
      </w:r>
      <w:r>
        <w:rPr>
          <w:rStyle w:val="58"/>
          <w:rFonts w:hint="eastAsia" w:ascii="宋体" w:hAnsi="宋体"/>
        </w:rPr>
        <w:t>；</w:t>
      </w:r>
    </w:p>
    <w:p>
      <w:pPr>
        <w:spacing w:line="480" w:lineRule="exact"/>
        <w:rPr>
          <w:rStyle w:val="58"/>
          <w:rFonts w:ascii="宋体" w:hAnsi="宋体"/>
        </w:rPr>
      </w:pPr>
      <w:r>
        <w:rPr>
          <w:rStyle w:val="58"/>
          <w:rFonts w:hint="eastAsia" w:ascii="宋体" w:hAnsi="宋体"/>
        </w:rPr>
        <w:t>（11）未实质性响应招标文件内容的；</w:t>
      </w:r>
    </w:p>
    <w:p>
      <w:pPr>
        <w:spacing w:line="480" w:lineRule="exact"/>
        <w:rPr>
          <w:rStyle w:val="58"/>
          <w:rFonts w:ascii="宋体" w:hAnsi="宋体"/>
        </w:rPr>
      </w:pPr>
      <w:r>
        <w:rPr>
          <w:rStyle w:val="58"/>
          <w:rFonts w:hint="eastAsia" w:ascii="宋体" w:hAnsi="宋体"/>
        </w:rPr>
        <w:t>（12）投标单位负责人为同一人或存在管理关系的。</w:t>
      </w:r>
    </w:p>
    <w:p>
      <w:pPr>
        <w:spacing w:line="480" w:lineRule="exact"/>
        <w:rPr>
          <w:rStyle w:val="58"/>
          <w:rFonts w:ascii="宋体" w:hAnsi="宋体"/>
        </w:rPr>
      </w:pPr>
      <w:r>
        <w:rPr>
          <w:rStyle w:val="58"/>
          <w:rFonts w:hint="eastAsia" w:ascii="宋体" w:hAnsi="宋体"/>
        </w:rPr>
        <w:t>（13）投标人被举报、检举，并经招标方查实无误的。</w:t>
      </w:r>
    </w:p>
    <w:p>
      <w:pPr>
        <w:spacing w:line="360" w:lineRule="auto"/>
        <w:rPr>
          <w:rStyle w:val="58"/>
          <w:rFonts w:ascii="宋体" w:hAnsi="宋体"/>
          <w:b/>
        </w:rPr>
      </w:pPr>
      <w:r>
        <w:rPr>
          <w:rStyle w:val="58"/>
          <w:rFonts w:ascii="宋体" w:hAnsi="宋体"/>
          <w:b/>
        </w:rPr>
        <w:t>2.2 详细评审</w:t>
      </w:r>
    </w:p>
    <w:p>
      <w:pPr>
        <w:spacing w:line="360" w:lineRule="auto"/>
        <w:rPr>
          <w:rStyle w:val="58"/>
          <w:rFonts w:ascii="宋体" w:hAnsi="宋体"/>
        </w:rPr>
      </w:pPr>
      <w:r>
        <w:rPr>
          <w:rStyle w:val="58"/>
          <w:rFonts w:ascii="宋体" w:hAnsi="宋体"/>
        </w:rPr>
        <w:t xml:space="preserve">2.2.1 </w:t>
      </w:r>
      <w:r>
        <w:rPr>
          <w:rStyle w:val="58"/>
          <w:rFonts w:hint="eastAsia" w:ascii="宋体" w:hAnsi="宋体"/>
        </w:rPr>
        <w:t>技术标：评标委员会按本章评分细则进行打分，并计算出平均得分；</w:t>
      </w:r>
    </w:p>
    <w:p>
      <w:pPr>
        <w:spacing w:line="360" w:lineRule="auto"/>
        <w:rPr>
          <w:rStyle w:val="58"/>
          <w:rFonts w:ascii="宋体" w:hAnsi="宋体"/>
          <w:i/>
          <w:iCs/>
          <w:color w:val="FF0000"/>
        </w:rPr>
      </w:pPr>
      <w:r>
        <w:rPr>
          <w:rStyle w:val="58"/>
          <w:rFonts w:hint="eastAsia" w:ascii="宋体" w:hAnsi="宋体"/>
        </w:rPr>
        <w:t>商务标：按照重汽e采通平台有效报价的由低到高进行排序，报价最低者排名第一，报价次低者排名第二，以此类推</w:t>
      </w:r>
      <w:r>
        <w:rPr>
          <w:rStyle w:val="58"/>
          <w:rFonts w:ascii="宋体" w:hAnsi="宋体"/>
        </w:rPr>
        <w:t>。</w:t>
      </w:r>
    </w:p>
    <w:p>
      <w:pPr>
        <w:spacing w:line="360" w:lineRule="auto"/>
        <w:rPr>
          <w:rStyle w:val="58"/>
          <w:rFonts w:ascii="宋体" w:hAnsi="宋体"/>
        </w:rPr>
      </w:pPr>
      <w:r>
        <w:rPr>
          <w:rStyle w:val="58"/>
          <w:rFonts w:ascii="宋体" w:hAnsi="宋体"/>
        </w:rPr>
        <w:t>2.2.2 评分分值计算保留小数点后两位，小数点后第三位“四舍五入”。</w:t>
      </w:r>
    </w:p>
    <w:p>
      <w:pPr>
        <w:spacing w:line="360" w:lineRule="auto"/>
        <w:rPr>
          <w:rStyle w:val="58"/>
          <w:rFonts w:ascii="宋体" w:hAnsi="宋体"/>
        </w:rPr>
      </w:pPr>
      <w:r>
        <w:rPr>
          <w:rStyle w:val="58"/>
          <w:rFonts w:ascii="宋体" w:hAnsi="宋体"/>
        </w:rPr>
        <w:t>2.2.3 投标人得分=评标委员会按照本章评分细则评审的得分。</w:t>
      </w:r>
    </w:p>
    <w:p>
      <w:pPr>
        <w:spacing w:line="360" w:lineRule="auto"/>
        <w:rPr>
          <w:rStyle w:val="58"/>
          <w:rFonts w:ascii="宋体" w:hAnsi="宋体"/>
        </w:rPr>
      </w:pPr>
      <w:r>
        <w:rPr>
          <w:rStyle w:val="58"/>
          <w:rFonts w:ascii="宋体" w:hAnsi="宋体"/>
        </w:rPr>
        <w:t>2.2.4 评标委员会发现投标人的报价明显低于其他投标报价，使得其投标报价可能低于其个别成本的，应当要求该投标人作出书面说明并提供相应的证明材料。投标人不能合理说明或者不能提供相应证明材料的，由评标委员会认定该投标人以低于成本报价竞标，其投标作废标处理。</w:t>
      </w:r>
    </w:p>
    <w:p>
      <w:pPr>
        <w:spacing w:line="360" w:lineRule="auto"/>
        <w:rPr>
          <w:rStyle w:val="58"/>
          <w:rFonts w:ascii="宋体" w:hAnsi="宋体"/>
          <w:b/>
        </w:rPr>
      </w:pPr>
      <w:r>
        <w:rPr>
          <w:rStyle w:val="58"/>
          <w:rFonts w:ascii="宋体" w:hAnsi="宋体"/>
          <w:b/>
        </w:rPr>
        <w:t>2.3 投标文件的澄清和补正</w:t>
      </w:r>
    </w:p>
    <w:p>
      <w:pPr>
        <w:spacing w:line="360" w:lineRule="auto"/>
        <w:rPr>
          <w:rStyle w:val="58"/>
          <w:rFonts w:ascii="宋体" w:hAnsi="宋体"/>
        </w:rPr>
      </w:pPr>
      <w:r>
        <w:rPr>
          <w:rStyle w:val="58"/>
          <w:rFonts w:ascii="宋体" w:hAnsi="宋体"/>
        </w:rPr>
        <w:t>2.3.1在评标过程中，评标委员会可以书面形式要求投标人对所提交投标文件中不明确的内容进行书面澄清或说明，或者对细微偏差进行补正。评标委员会不接受投标人主动提出的澄清、说明或补正。</w:t>
      </w:r>
    </w:p>
    <w:p>
      <w:pPr>
        <w:spacing w:line="360" w:lineRule="auto"/>
        <w:rPr>
          <w:rStyle w:val="58"/>
          <w:rFonts w:ascii="宋体" w:hAnsi="宋体"/>
        </w:rPr>
      </w:pPr>
      <w:r>
        <w:rPr>
          <w:rStyle w:val="58"/>
          <w:rFonts w:ascii="宋体" w:hAnsi="宋体"/>
        </w:rPr>
        <w:t>2.3.2 投标人的书面澄清、说明和补正属于投标文件的组成部分。</w:t>
      </w:r>
    </w:p>
    <w:p>
      <w:pPr>
        <w:spacing w:line="360" w:lineRule="auto"/>
        <w:rPr>
          <w:rStyle w:val="58"/>
          <w:rFonts w:ascii="宋体" w:hAnsi="宋体"/>
        </w:rPr>
      </w:pPr>
      <w:r>
        <w:rPr>
          <w:rStyle w:val="58"/>
          <w:rFonts w:ascii="宋体" w:hAnsi="宋体"/>
        </w:rPr>
        <w:t>2.3.3 评标委员会对投标人提交的澄清、说明或补正有疑问的，可以要求投标人进一步澄清、说明或补正，直至满足评标委员会的要求。</w:t>
      </w:r>
    </w:p>
    <w:p>
      <w:pPr>
        <w:spacing w:line="360" w:lineRule="auto"/>
        <w:rPr>
          <w:rStyle w:val="58"/>
          <w:rFonts w:ascii="宋体" w:hAnsi="宋体"/>
          <w:b/>
        </w:rPr>
      </w:pPr>
      <w:r>
        <w:rPr>
          <w:rStyle w:val="58"/>
          <w:rFonts w:ascii="宋体" w:hAnsi="宋体"/>
          <w:b/>
        </w:rPr>
        <w:t>2.4 评标结果</w:t>
      </w:r>
    </w:p>
    <w:p>
      <w:pPr>
        <w:spacing w:line="360" w:lineRule="auto"/>
        <w:rPr>
          <w:rFonts w:ascii="宋体" w:hAnsi="宋体"/>
        </w:rPr>
      </w:pPr>
      <w:r>
        <w:rPr>
          <w:rStyle w:val="58"/>
          <w:rFonts w:hint="eastAsia" w:ascii="宋体" w:hAnsi="宋体"/>
        </w:rPr>
        <w:t>2</w:t>
      </w:r>
      <w:r>
        <w:rPr>
          <w:rStyle w:val="58"/>
          <w:rFonts w:ascii="宋体" w:hAnsi="宋体"/>
        </w:rPr>
        <w:t>.4.1除第二章“投标人须知”前附表</w:t>
      </w:r>
      <w:r>
        <w:rPr>
          <w:rStyle w:val="58"/>
          <w:u w:val="single"/>
        </w:rPr>
        <w:t>第7.1款</w:t>
      </w:r>
      <w:r>
        <w:rPr>
          <w:rStyle w:val="58"/>
          <w:rFonts w:ascii="宋体" w:hAnsi="宋体"/>
        </w:rPr>
        <w:t>授权直接确定中标人外，</w:t>
      </w:r>
      <w:r>
        <w:rPr>
          <w:rStyle w:val="58"/>
          <w:rFonts w:hint="eastAsia"/>
        </w:rPr>
        <w:t>评标委员会按照最终得分</w:t>
      </w:r>
      <w:r>
        <w:rPr>
          <w:rFonts w:hint="eastAsia" w:ascii="宋体" w:hAnsi="宋体"/>
          <w:szCs w:val="21"/>
        </w:rPr>
        <w:t>由高到低的次序排列</w:t>
      </w:r>
      <w:r>
        <w:rPr>
          <w:rFonts w:hint="eastAsia" w:ascii="宋体" w:hAnsi="宋体"/>
        </w:rPr>
        <w:t>。</w:t>
      </w:r>
    </w:p>
    <w:p>
      <w:pPr>
        <w:spacing w:line="360" w:lineRule="auto"/>
        <w:rPr>
          <w:rStyle w:val="58"/>
          <w:rFonts w:ascii="宋体" w:hAnsi="宋体"/>
        </w:rPr>
      </w:pPr>
      <w:r>
        <w:rPr>
          <w:rStyle w:val="58"/>
          <w:rFonts w:ascii="宋体" w:hAnsi="宋体"/>
        </w:rPr>
        <w:t>2.4.2 评标委员会完成评标后，应当向招标人提交书面评标报告。</w:t>
      </w:r>
    </w:p>
    <w:p>
      <w:pPr>
        <w:pStyle w:val="62"/>
        <w:spacing w:before="0" w:after="0"/>
        <w:rPr>
          <w:rStyle w:val="58"/>
          <w:rFonts w:ascii="宋体" w:hAnsi="宋体"/>
          <w:sz w:val="24"/>
        </w:rPr>
      </w:pPr>
      <w:r>
        <w:rPr>
          <w:rStyle w:val="58"/>
          <w:rFonts w:ascii="宋体" w:hAnsi="宋体"/>
          <w:sz w:val="24"/>
        </w:rPr>
        <w:t>附件B：废标条件</w:t>
      </w:r>
    </w:p>
    <w:p>
      <w:pPr>
        <w:pStyle w:val="62"/>
        <w:spacing w:before="0" w:after="0"/>
        <w:rPr>
          <w:rStyle w:val="58"/>
          <w:rFonts w:ascii="宋体" w:hAnsi="宋体"/>
          <w:sz w:val="24"/>
        </w:rPr>
      </w:pPr>
      <w:bookmarkStart w:id="90" w:name="_Toc16063939"/>
      <w:r>
        <w:rPr>
          <w:rStyle w:val="58"/>
          <w:rFonts w:ascii="宋体" w:hAnsi="宋体"/>
          <w:sz w:val="24"/>
        </w:rPr>
        <w:t>B0、总则</w:t>
      </w:r>
      <w:bookmarkEnd w:id="90"/>
    </w:p>
    <w:p>
      <w:pPr>
        <w:spacing w:line="360" w:lineRule="auto"/>
        <w:ind w:firstLine="420" w:firstLineChars="200"/>
        <w:rPr>
          <w:rStyle w:val="58"/>
          <w:rFonts w:ascii="宋体" w:hAnsi="宋体"/>
        </w:rPr>
      </w:pPr>
      <w:r>
        <w:rPr>
          <w:rStyle w:val="58"/>
          <w:rFonts w:ascii="宋体" w:hAnsi="宋体"/>
        </w:rPr>
        <w:t>本附件所集中列示的废标条件，是本章“评标办法”的组成部分，是对第二章“投标人须知”和本章正文部分所规定的废标条件的总结和补充，如果出现相互矛盾的情况，以第二章“投标人须知”和本章正文部分的规定为准。</w:t>
      </w:r>
    </w:p>
    <w:p>
      <w:pPr>
        <w:pStyle w:val="62"/>
        <w:spacing w:before="0" w:after="0"/>
        <w:rPr>
          <w:rStyle w:val="58"/>
          <w:rFonts w:ascii="宋体" w:hAnsi="宋体"/>
          <w:sz w:val="24"/>
        </w:rPr>
      </w:pPr>
      <w:bookmarkStart w:id="91" w:name="_Toc16063940"/>
      <w:r>
        <w:rPr>
          <w:rStyle w:val="58"/>
          <w:rFonts w:ascii="宋体" w:hAnsi="宋体"/>
          <w:sz w:val="24"/>
        </w:rPr>
        <w:t>B1 废标条件</w:t>
      </w:r>
      <w:bookmarkEnd w:id="91"/>
    </w:p>
    <w:p>
      <w:pPr>
        <w:spacing w:line="360" w:lineRule="auto"/>
        <w:rPr>
          <w:rStyle w:val="58"/>
          <w:rFonts w:ascii="宋体" w:hAnsi="宋体"/>
        </w:rPr>
      </w:pPr>
      <w:r>
        <w:rPr>
          <w:rStyle w:val="58"/>
          <w:rFonts w:ascii="宋体" w:hAnsi="宋体"/>
        </w:rPr>
        <w:t xml:space="preserve">    投标人或其投标文件有下列情形之一的，其投标作废标处理：</w:t>
      </w:r>
    </w:p>
    <w:p>
      <w:pPr>
        <w:spacing w:line="360" w:lineRule="auto"/>
        <w:ind w:firstLine="420" w:firstLineChars="200"/>
        <w:rPr>
          <w:rStyle w:val="58"/>
          <w:rFonts w:ascii="宋体" w:hAnsi="宋体"/>
        </w:rPr>
      </w:pPr>
      <w:r>
        <w:rPr>
          <w:rStyle w:val="58"/>
          <w:rFonts w:ascii="宋体" w:hAnsi="宋体"/>
        </w:rPr>
        <w:t>B1.1有第二章“投标人须知”</w:t>
      </w:r>
      <w:r>
        <w:rPr>
          <w:rStyle w:val="45"/>
          <w:rFonts w:ascii="宋体" w:hAnsi="宋体"/>
          <w:color w:val="auto"/>
        </w:rPr>
        <w:t>第1.4.3</w:t>
      </w:r>
      <w:r>
        <w:rPr>
          <w:rStyle w:val="58"/>
          <w:rFonts w:ascii="宋体" w:hAnsi="宋体"/>
        </w:rPr>
        <w:t>项规定的任何一种情形的。</w:t>
      </w:r>
    </w:p>
    <w:p>
      <w:pPr>
        <w:spacing w:line="360" w:lineRule="auto"/>
        <w:ind w:firstLine="420" w:firstLineChars="200"/>
        <w:rPr>
          <w:rStyle w:val="58"/>
          <w:rFonts w:ascii="宋体" w:hAnsi="宋体"/>
          <w:shd w:val="clear" w:color="auto" w:fill="D9D9D9"/>
        </w:rPr>
      </w:pPr>
      <w:r>
        <w:rPr>
          <w:rStyle w:val="58"/>
          <w:rFonts w:ascii="宋体" w:hAnsi="宋体"/>
          <w:shd w:val="clear" w:color="auto" w:fill="D9D9D9"/>
        </w:rPr>
        <w:t>B1.2 有串通投标或弄虚作假或其他违法行为的，详下：</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B1.2.1投标人之间协商投标报价等投标文件的实质性内容；</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B1.2.2投标人之间约定中标人；</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B1.2.3投标人之间约定部分投标人放弃投标或者中标；</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B1.2.4属于同一集团、协会、商会等组织成员的投标人按照该组织要求协同投标；</w:t>
      </w:r>
    </w:p>
    <w:p>
      <w:pPr>
        <w:spacing w:line="360" w:lineRule="auto"/>
        <w:ind w:left="216" w:leftChars="103" w:firstLine="621" w:firstLineChars="296"/>
        <w:rPr>
          <w:rStyle w:val="58"/>
          <w:rFonts w:ascii="宋体" w:hAnsi="宋体"/>
          <w:shd w:val="clear" w:color="auto" w:fill="D9D9D9"/>
        </w:rPr>
      </w:pPr>
      <w:bookmarkStart w:id="92" w:name="_Toc16063941"/>
      <w:r>
        <w:rPr>
          <w:rStyle w:val="58"/>
          <w:rFonts w:ascii="宋体" w:hAnsi="宋体"/>
          <w:shd w:val="clear" w:color="auto" w:fill="D9D9D9"/>
        </w:rPr>
        <w:t>B1.2.5投标人之间为谋取中标或者排斥特定投标人而采取的其他联合行动；</w:t>
      </w:r>
      <w:bookmarkEnd w:id="92"/>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B1.2.6不同投标人的投标文件由同一单位或者个人编制；</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B1.2.7不同投标人委托同一单位或者个人办理投标事宜；</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B1.2.8不同投标人的投标文件载明的项目管理成员为同一人；</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B1.2.9 不同投标人聘请同一个人为其投标提供技术或者经济咨询服务的，但招标工程本身要求采用专有技术的除外；</w:t>
      </w:r>
    </w:p>
    <w:p>
      <w:pPr>
        <w:spacing w:line="360" w:lineRule="auto"/>
        <w:ind w:left="216" w:leftChars="103" w:firstLine="621" w:firstLineChars="296"/>
        <w:rPr>
          <w:rStyle w:val="58"/>
          <w:rFonts w:ascii="宋体" w:hAnsi="宋体"/>
          <w:shd w:val="clear" w:color="auto" w:fill="D9D9D9"/>
        </w:rPr>
      </w:pPr>
      <w:bookmarkStart w:id="93" w:name="_Toc16063942"/>
      <w:r>
        <w:rPr>
          <w:rStyle w:val="58"/>
          <w:rFonts w:ascii="宋体" w:hAnsi="宋体"/>
          <w:shd w:val="clear" w:color="auto" w:fill="D9D9D9"/>
        </w:rPr>
        <w:t>B1.2.10不同投标人的投标文件异常一致或者投标报价呈规律性差异；</w:t>
      </w:r>
      <w:bookmarkEnd w:id="93"/>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B1.2.11不同投标人的投标文件错漏之处一致的；</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B1.2.12不同投标人的投标文件相互混装；</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B1.2.13不同投标人的投标文件由同一台电脑编制或者同一台附属设备打印；</w:t>
      </w:r>
    </w:p>
    <w:p>
      <w:pPr>
        <w:spacing w:line="360" w:lineRule="auto"/>
        <w:ind w:left="216" w:leftChars="103" w:firstLine="621" w:firstLineChars="296"/>
        <w:rPr>
          <w:rStyle w:val="58"/>
          <w:rFonts w:ascii="宋体" w:hAnsi="宋体"/>
          <w:shd w:val="clear" w:color="auto" w:fill="D9D9D9"/>
        </w:rPr>
      </w:pPr>
      <w:bookmarkStart w:id="94" w:name="_Toc16063943"/>
      <w:r>
        <w:rPr>
          <w:rStyle w:val="58"/>
          <w:rFonts w:ascii="宋体" w:hAnsi="宋体"/>
          <w:shd w:val="clear" w:color="auto" w:fill="D9D9D9"/>
        </w:rPr>
        <w:t>B1.2.14不同投标人的投标保证金从同一单位或者个人的账户转出；</w:t>
      </w:r>
      <w:bookmarkEnd w:id="94"/>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B1.2.15不同投标人使用同一个人或者企业资金交纳投标保证金或者投标保函的反担保的；</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B1.2.16使用伪造、变造的许可证件；</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B1.2.17提供虚假的财务状况或者业绩；</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B1.2.18提供虚假的项目负责人或者主要技术人员简历、劳动关系证明；</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B1.2.19提供虚假的信用状况；</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B1.2.20其他弄虚作假的行为；</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B1.2.21招标人在开标前开启投标文件并将有关信息泄露给其他投标人;</w:t>
      </w:r>
    </w:p>
    <w:p>
      <w:pPr>
        <w:spacing w:line="360" w:lineRule="auto"/>
        <w:ind w:left="216" w:leftChars="103" w:firstLine="621" w:firstLineChars="296"/>
        <w:rPr>
          <w:rStyle w:val="58"/>
          <w:rFonts w:ascii="宋体" w:hAnsi="宋体"/>
          <w:shd w:val="clear" w:color="auto" w:fill="D9D9D9"/>
        </w:rPr>
      </w:pPr>
      <w:bookmarkStart w:id="95" w:name="_Toc16063944"/>
      <w:r>
        <w:rPr>
          <w:rStyle w:val="58"/>
          <w:rFonts w:ascii="宋体" w:hAnsi="宋体"/>
          <w:shd w:val="clear" w:color="auto" w:fill="D9D9D9"/>
        </w:rPr>
        <w:t>B1.2.22招标人直接或者间接向投标人泄露标底、评标委员会成员等信息；</w:t>
      </w:r>
      <w:bookmarkEnd w:id="95"/>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B1.2.23招标人明示或者暗示投标人压低或者抬高投标报价；</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B1.2.24招标人授意投标人撤换、修改投标文件；</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B1.2.25招标人明示或者暗示投标人为特定投标人中标提供方便；</w:t>
      </w:r>
    </w:p>
    <w:p>
      <w:pPr>
        <w:spacing w:line="360" w:lineRule="auto"/>
        <w:ind w:left="216" w:leftChars="103" w:firstLine="621" w:firstLineChars="296"/>
        <w:rPr>
          <w:rStyle w:val="58"/>
          <w:rFonts w:ascii="宋体" w:hAnsi="宋体"/>
          <w:shd w:val="clear" w:color="auto" w:fill="D9D9D9"/>
        </w:rPr>
      </w:pPr>
      <w:r>
        <w:rPr>
          <w:rStyle w:val="58"/>
          <w:rFonts w:ascii="宋体" w:hAnsi="宋体"/>
          <w:shd w:val="clear" w:color="auto" w:fill="D9D9D9"/>
        </w:rPr>
        <w:t>B1.2.26招标人与投标人为谋求特定投标人中标而采取的其他串通行为；</w:t>
      </w:r>
    </w:p>
    <w:p>
      <w:pPr>
        <w:spacing w:line="360" w:lineRule="auto"/>
        <w:ind w:left="216" w:leftChars="103" w:firstLine="621" w:firstLineChars="296"/>
        <w:rPr>
          <w:rStyle w:val="58"/>
          <w:rFonts w:ascii="宋体" w:hAnsi="宋体"/>
          <w:shd w:val="clear" w:color="auto" w:fill="D9D9D9"/>
        </w:rPr>
      </w:pPr>
      <w:bookmarkStart w:id="96" w:name="_Toc16063945"/>
      <w:r>
        <w:rPr>
          <w:rStyle w:val="58"/>
          <w:rFonts w:ascii="宋体" w:hAnsi="宋体"/>
          <w:shd w:val="clear" w:color="auto" w:fill="D9D9D9"/>
        </w:rPr>
        <w:t>B1.2.27评标委员会认定的其他串通投标情形；</w:t>
      </w:r>
      <w:bookmarkEnd w:id="96"/>
    </w:p>
    <w:p>
      <w:pPr>
        <w:spacing w:line="360" w:lineRule="auto"/>
        <w:ind w:firstLine="420" w:firstLineChars="200"/>
        <w:rPr>
          <w:rStyle w:val="58"/>
          <w:rFonts w:ascii="宋体" w:hAnsi="宋体"/>
        </w:rPr>
      </w:pPr>
      <w:r>
        <w:rPr>
          <w:rStyle w:val="58"/>
          <w:rFonts w:ascii="宋体" w:hAnsi="宋体"/>
        </w:rPr>
        <w:t>B1.3不按评标委员会要求澄清、说明或补正的。</w:t>
      </w:r>
    </w:p>
    <w:p>
      <w:pPr>
        <w:spacing w:line="360" w:lineRule="auto"/>
        <w:ind w:firstLine="422" w:firstLineChars="200"/>
        <w:rPr>
          <w:rStyle w:val="58"/>
          <w:rFonts w:ascii="宋体" w:hAnsi="宋体"/>
          <w:b/>
        </w:rPr>
      </w:pPr>
      <w:r>
        <w:rPr>
          <w:rStyle w:val="58"/>
          <w:rFonts w:ascii="宋体" w:hAnsi="宋体"/>
          <w:b/>
        </w:rPr>
        <w:t>B1.</w:t>
      </w:r>
      <w:r>
        <w:rPr>
          <w:rStyle w:val="58"/>
          <w:rFonts w:hint="eastAsia" w:ascii="宋体" w:hAnsi="宋体"/>
          <w:b/>
        </w:rPr>
        <w:t>4</w:t>
      </w:r>
      <w:r>
        <w:rPr>
          <w:rStyle w:val="58"/>
          <w:rFonts w:ascii="宋体" w:hAnsi="宋体"/>
          <w:b/>
        </w:rPr>
        <w:t>投标报价文件（投标函除外）未经有资格的工程造价专业人员签字并加盖执业专用章的。</w:t>
      </w:r>
    </w:p>
    <w:p>
      <w:pPr>
        <w:spacing w:line="360" w:lineRule="auto"/>
        <w:ind w:firstLine="420" w:firstLineChars="200"/>
        <w:rPr>
          <w:rStyle w:val="58"/>
          <w:rFonts w:ascii="宋体" w:hAnsi="宋体"/>
        </w:rPr>
      </w:pPr>
      <w:r>
        <w:rPr>
          <w:rStyle w:val="58"/>
          <w:rFonts w:ascii="宋体" w:hAnsi="宋体"/>
        </w:rPr>
        <w:t>B1.</w:t>
      </w:r>
      <w:r>
        <w:rPr>
          <w:rStyle w:val="58"/>
          <w:rFonts w:hint="eastAsia" w:ascii="宋体" w:hAnsi="宋体"/>
        </w:rPr>
        <w:t>5</w:t>
      </w:r>
      <w:r>
        <w:rPr>
          <w:rStyle w:val="58"/>
          <w:rFonts w:ascii="宋体" w:hAnsi="宋体"/>
        </w:rPr>
        <w:t>在施工组织设计和项目管理机构评审中，评标委员会认定投标人的投标未能通过此项评审的。</w:t>
      </w:r>
    </w:p>
    <w:p>
      <w:pPr>
        <w:spacing w:line="360" w:lineRule="auto"/>
        <w:ind w:firstLine="420" w:firstLineChars="200"/>
        <w:rPr>
          <w:rStyle w:val="58"/>
          <w:rFonts w:ascii="宋体" w:hAnsi="宋体"/>
        </w:rPr>
      </w:pPr>
      <w:r>
        <w:rPr>
          <w:rStyle w:val="58"/>
          <w:rFonts w:ascii="宋体" w:hAnsi="宋体"/>
        </w:rPr>
        <w:t>B1.</w:t>
      </w:r>
      <w:r>
        <w:rPr>
          <w:rStyle w:val="58"/>
          <w:rFonts w:hint="eastAsia" w:ascii="宋体" w:hAnsi="宋体"/>
        </w:rPr>
        <w:t>6</w:t>
      </w:r>
      <w:r>
        <w:rPr>
          <w:rStyle w:val="58"/>
          <w:rFonts w:ascii="宋体" w:hAnsi="宋体"/>
        </w:rPr>
        <w:t>评标委员会认定投标人以低于成本报价竞标的。</w:t>
      </w:r>
    </w:p>
    <w:p>
      <w:pPr>
        <w:spacing w:line="360" w:lineRule="auto"/>
        <w:ind w:firstLine="420" w:firstLineChars="200"/>
        <w:rPr>
          <w:rStyle w:val="58"/>
          <w:rFonts w:ascii="宋体" w:hAnsi="宋体"/>
        </w:rPr>
      </w:pPr>
      <w:r>
        <w:rPr>
          <w:rStyle w:val="58"/>
          <w:rFonts w:ascii="宋体" w:hAnsi="宋体"/>
        </w:rPr>
        <w:t>B1.</w:t>
      </w:r>
      <w:r>
        <w:rPr>
          <w:rStyle w:val="58"/>
          <w:rFonts w:hint="eastAsia" w:ascii="宋体" w:hAnsi="宋体"/>
        </w:rPr>
        <w:t>7</w:t>
      </w:r>
      <w:r>
        <w:rPr>
          <w:rStyle w:val="58"/>
          <w:rFonts w:ascii="宋体" w:hAnsi="宋体"/>
        </w:rPr>
        <w:t xml:space="preserve">投标人未按第二章 </w:t>
      </w:r>
      <w:r>
        <w:rPr>
          <w:rStyle w:val="45"/>
          <w:rFonts w:ascii="宋体" w:hAnsi="宋体"/>
          <w:color w:val="auto"/>
        </w:rPr>
        <w:t>投标人须知前附表第11.5款</w:t>
      </w:r>
      <w:r>
        <w:rPr>
          <w:rStyle w:val="58"/>
          <w:rFonts w:ascii="宋体" w:hAnsi="宋体"/>
        </w:rPr>
        <w:t>规定出席开标会的。</w:t>
      </w:r>
    </w:p>
    <w:p>
      <w:pPr>
        <w:spacing w:line="360" w:lineRule="auto"/>
        <w:ind w:left="420" w:leftChars="200"/>
        <w:rPr>
          <w:rStyle w:val="58"/>
          <w:rFonts w:ascii="宋体" w:hAnsi="宋体"/>
          <w:szCs w:val="22"/>
        </w:rPr>
      </w:pPr>
      <w:r>
        <w:rPr>
          <w:rStyle w:val="58"/>
          <w:rFonts w:hint="eastAsia" w:ascii="宋体" w:hAnsi="宋体"/>
          <w:szCs w:val="22"/>
        </w:rPr>
        <w:t>B1.8</w:t>
      </w:r>
      <w:r>
        <w:rPr>
          <w:rStyle w:val="58"/>
          <w:rFonts w:ascii="宋体" w:hAnsi="宋体"/>
          <w:szCs w:val="22"/>
        </w:rPr>
        <w:t>符合条件、或对招标文件做实质响应的供应商不足3家的</w:t>
      </w:r>
      <w:r>
        <w:rPr>
          <w:rStyle w:val="58"/>
          <w:rFonts w:hint="eastAsia" w:ascii="宋体" w:hAnsi="宋体"/>
          <w:szCs w:val="22"/>
        </w:rPr>
        <w:t>。</w:t>
      </w:r>
    </w:p>
    <w:p>
      <w:pPr>
        <w:spacing w:line="360" w:lineRule="auto"/>
        <w:ind w:left="420" w:leftChars="200"/>
        <w:rPr>
          <w:rStyle w:val="58"/>
          <w:rFonts w:ascii="宋体" w:hAnsi="宋体"/>
        </w:rPr>
      </w:pPr>
      <w:r>
        <w:rPr>
          <w:rStyle w:val="58"/>
          <w:rFonts w:hint="eastAsia" w:ascii="宋体" w:hAnsi="宋体"/>
          <w:szCs w:val="22"/>
        </w:rPr>
        <w:t>B1.9</w:t>
      </w:r>
      <w:r>
        <w:rPr>
          <w:rStyle w:val="58"/>
          <w:rFonts w:ascii="宋体" w:hAnsi="宋体"/>
          <w:szCs w:val="22"/>
        </w:rPr>
        <w:t>出现影响采购公正的违法违规行为的、投标人报价均超过采购预算的、因重大变故、采购任务取消的等</w:t>
      </w:r>
      <w:r>
        <w:rPr>
          <w:rStyle w:val="58"/>
          <w:rFonts w:hint="eastAsia" w:ascii="宋体" w:hAnsi="宋体"/>
          <w:szCs w:val="22"/>
        </w:rPr>
        <w:t>。</w:t>
      </w:r>
      <w:r>
        <w:rPr>
          <w:rStyle w:val="58"/>
          <w:rFonts w:ascii="宋体" w:hAnsi="宋体"/>
        </w:rPr>
        <w:br w:type="page"/>
      </w:r>
    </w:p>
    <w:p>
      <w:pPr>
        <w:pStyle w:val="6"/>
        <w:jc w:val="center"/>
        <w:rPr>
          <w:i w:val="0"/>
          <w:iCs w:val="0"/>
          <w:sz w:val="32"/>
          <w:szCs w:val="32"/>
        </w:rPr>
      </w:pPr>
      <w:bookmarkStart w:id="97" w:name="_Toc17817336"/>
      <w:bookmarkStart w:id="98" w:name="_Toc211261915"/>
      <w:bookmarkStart w:id="99" w:name="_Toc11114"/>
      <w:r>
        <w:rPr>
          <w:i w:val="0"/>
          <w:iCs w:val="0"/>
          <w:sz w:val="32"/>
          <w:szCs w:val="32"/>
        </w:rPr>
        <w:t>第四章</w:t>
      </w:r>
      <w:r>
        <w:rPr>
          <w:rFonts w:hint="eastAsia"/>
          <w:i w:val="0"/>
          <w:iCs w:val="0"/>
          <w:sz w:val="32"/>
          <w:szCs w:val="32"/>
        </w:rPr>
        <w:t xml:space="preserve"> </w:t>
      </w:r>
      <w:r>
        <w:rPr>
          <w:i w:val="0"/>
          <w:iCs w:val="0"/>
          <w:sz w:val="32"/>
          <w:szCs w:val="32"/>
        </w:rPr>
        <w:t>合同条款及格式</w:t>
      </w:r>
      <w:bookmarkEnd w:id="97"/>
      <w:bookmarkEnd w:id="98"/>
      <w:bookmarkEnd w:id="99"/>
    </w:p>
    <w:p>
      <w:pPr>
        <w:jc w:val="center"/>
        <w:rPr>
          <w:rStyle w:val="58"/>
        </w:rPr>
      </w:pPr>
      <w:r>
        <w:rPr>
          <w:rStyle w:val="58"/>
          <w:rFonts w:hint="eastAsia" w:ascii="宋体" w:hAnsi="宋体"/>
          <w:b/>
          <w:bCs/>
        </w:rPr>
        <w:t>（</w:t>
      </w:r>
      <w:r>
        <w:rPr>
          <w:rStyle w:val="58"/>
          <w:rFonts w:ascii="宋体" w:hAnsi="宋体"/>
          <w:b/>
          <w:bCs/>
        </w:rPr>
        <w:t>以最终签署合同文本为准）</w:t>
      </w:r>
    </w:p>
    <w:p>
      <w:pPr>
        <w:pStyle w:val="4"/>
        <w:ind w:left="420"/>
      </w:pPr>
      <w:bookmarkStart w:id="100" w:name="_Toc363561426"/>
      <w:bookmarkStart w:id="101" w:name="_Toc294124220"/>
    </w:p>
    <w:p>
      <w:pPr>
        <w:wordWrap w:val="0"/>
        <w:adjustRightInd w:val="0"/>
        <w:snapToGrid w:val="0"/>
        <w:spacing w:line="360" w:lineRule="auto"/>
        <w:jc w:val="right"/>
        <w:rPr>
          <w:rFonts w:ascii="宋体" w:hAnsi="宋体"/>
          <w:b/>
          <w:color w:val="000000" w:themeColor="text1"/>
          <w:sz w:val="28"/>
          <w:szCs w:val="28"/>
          <w:u w:val="single"/>
          <w14:textFill>
            <w14:solidFill>
              <w14:schemeClr w14:val="tx1"/>
            </w14:solidFill>
          </w14:textFill>
        </w:rPr>
      </w:pPr>
      <w:r>
        <w:rPr>
          <w:rFonts w:hint="eastAsia" w:ascii="宋体" w:hAnsi="宋体"/>
          <w:b/>
          <w:color w:val="000000" w:themeColor="text1"/>
          <w:sz w:val="28"/>
          <w:szCs w:val="28"/>
          <w14:textFill>
            <w14:solidFill>
              <w14:schemeClr w14:val="tx1"/>
            </w14:solidFill>
          </w14:textFill>
        </w:rPr>
        <w:t>合同编号：</w:t>
      </w:r>
      <w:r>
        <w:rPr>
          <w:rFonts w:ascii="宋体" w:hAnsi="宋体"/>
          <w:b/>
          <w:color w:val="000000" w:themeColor="text1"/>
          <w:sz w:val="28"/>
          <w:szCs w:val="36"/>
          <w:u w:val="thick"/>
          <w14:textFill>
            <w14:solidFill>
              <w14:schemeClr w14:val="tx1"/>
            </w14:solidFill>
          </w14:textFill>
        </w:rPr>
        <w:t xml:space="preserve">             </w:t>
      </w:r>
    </w:p>
    <w:p>
      <w:pPr>
        <w:adjustRightInd w:val="0"/>
        <w:snapToGrid w:val="0"/>
        <w:spacing w:line="360" w:lineRule="auto"/>
        <w:jc w:val="left"/>
        <w:rPr>
          <w:rFonts w:ascii="宋体" w:hAnsi="宋体"/>
          <w:color w:val="000000" w:themeColor="text1"/>
          <w:sz w:val="20"/>
          <w:szCs w:val="20"/>
          <w14:textFill>
            <w14:solidFill>
              <w14:schemeClr w14:val="tx1"/>
            </w14:solidFill>
          </w14:textFill>
        </w:rPr>
      </w:pPr>
    </w:p>
    <w:p>
      <w:pPr>
        <w:adjustRightInd w:val="0"/>
        <w:snapToGrid w:val="0"/>
        <w:spacing w:line="360" w:lineRule="auto"/>
        <w:jc w:val="left"/>
        <w:rPr>
          <w:rFonts w:ascii="宋体" w:hAnsi="宋体"/>
          <w:color w:val="000000" w:themeColor="text1"/>
          <w:sz w:val="20"/>
          <w:szCs w:val="20"/>
          <w14:textFill>
            <w14:solidFill>
              <w14:schemeClr w14:val="tx1"/>
            </w14:solidFill>
          </w14:textFill>
        </w:rPr>
      </w:pPr>
    </w:p>
    <w:p>
      <w:pPr>
        <w:adjustRightInd w:val="0"/>
        <w:snapToGrid w:val="0"/>
        <w:spacing w:line="360" w:lineRule="auto"/>
        <w:jc w:val="left"/>
        <w:rPr>
          <w:rFonts w:ascii="宋体" w:hAnsi="宋体"/>
          <w:color w:val="000000" w:themeColor="text1"/>
          <w:sz w:val="20"/>
          <w:szCs w:val="20"/>
          <w14:textFill>
            <w14:solidFill>
              <w14:schemeClr w14:val="tx1"/>
            </w14:solidFill>
          </w14:textFill>
        </w:rPr>
      </w:pPr>
    </w:p>
    <w:p>
      <w:pPr>
        <w:adjustRightInd w:val="0"/>
        <w:snapToGrid w:val="0"/>
        <w:spacing w:line="360" w:lineRule="auto"/>
        <w:jc w:val="left"/>
        <w:rPr>
          <w:rFonts w:ascii="宋体" w:hAnsi="宋体"/>
          <w:color w:val="000000" w:themeColor="text1"/>
          <w:sz w:val="20"/>
          <w:szCs w:val="20"/>
          <w14:textFill>
            <w14:solidFill>
              <w14:schemeClr w14:val="tx1"/>
            </w14:solidFill>
          </w14:textFill>
        </w:rPr>
      </w:pPr>
    </w:p>
    <w:p>
      <w:pPr>
        <w:pStyle w:val="19"/>
      </w:pPr>
    </w:p>
    <w:p>
      <w:pPr>
        <w:pStyle w:val="19"/>
      </w:pPr>
    </w:p>
    <w:p>
      <w:pPr>
        <w:adjustRightInd w:val="0"/>
        <w:snapToGrid w:val="0"/>
        <w:spacing w:line="360" w:lineRule="auto"/>
        <w:jc w:val="center"/>
        <w:rPr>
          <w:rFonts w:ascii="宋体" w:hAnsi="宋体"/>
          <w:b/>
          <w:bCs/>
          <w:color w:val="000000" w:themeColor="text1"/>
          <w:sz w:val="52"/>
          <w:szCs w:val="36"/>
          <w14:textFill>
            <w14:solidFill>
              <w14:schemeClr w14:val="tx1"/>
            </w14:solidFill>
          </w14:textFill>
        </w:rPr>
      </w:pPr>
      <w:r>
        <w:rPr>
          <w:rFonts w:hint="eastAsia" w:ascii="宋体" w:hAnsi="宋体"/>
          <w:b/>
          <w:bCs/>
          <w:color w:val="000000" w:themeColor="text1"/>
          <w:sz w:val="52"/>
          <w:szCs w:val="36"/>
          <w14:textFill>
            <w14:solidFill>
              <w14:schemeClr w14:val="tx1"/>
            </w14:solidFill>
          </w14:textFill>
        </w:rPr>
        <w:t>建设工程施工合同</w:t>
      </w:r>
    </w:p>
    <w:p>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pPr>
        <w:adjustRightInd w:val="0"/>
        <w:snapToGrid w:val="0"/>
        <w:spacing w:line="360" w:lineRule="auto"/>
        <w:jc w:val="left"/>
        <w:rPr>
          <w:rFonts w:ascii="宋体" w:hAnsi="宋体"/>
          <w:b/>
          <w:color w:val="000000" w:themeColor="text1"/>
          <w:sz w:val="36"/>
          <w:szCs w:val="36"/>
          <w14:textFill>
            <w14:solidFill>
              <w14:schemeClr w14:val="tx1"/>
            </w14:solidFill>
          </w14:textFill>
        </w:rPr>
      </w:pPr>
    </w:p>
    <w:p>
      <w:pPr>
        <w:adjustRightInd w:val="0"/>
        <w:snapToGrid w:val="0"/>
        <w:spacing w:line="360" w:lineRule="auto"/>
        <w:ind w:firstLine="1701" w:firstLineChars="605"/>
        <w:jc w:val="left"/>
        <w:rPr>
          <w:rFonts w:ascii="宋体" w:hAnsi="宋体"/>
          <w:b/>
          <w:color w:val="000000" w:themeColor="text1"/>
          <w:sz w:val="28"/>
          <w:szCs w:val="36"/>
          <w:u w:val="thick"/>
          <w14:textFill>
            <w14:solidFill>
              <w14:schemeClr w14:val="tx1"/>
            </w14:solidFill>
          </w14:textFill>
        </w:rPr>
      </w:pPr>
      <w:r>
        <w:rPr>
          <w:rFonts w:hint="eastAsia" w:ascii="宋体" w:hAnsi="宋体"/>
          <w:b/>
          <w:color w:val="000000" w:themeColor="text1"/>
          <w:sz w:val="28"/>
          <w:szCs w:val="36"/>
          <w14:textFill>
            <w14:solidFill>
              <w14:schemeClr w14:val="tx1"/>
            </w14:solidFill>
          </w14:textFill>
        </w:rPr>
        <w:t>项目名称：</w:t>
      </w:r>
      <w:r>
        <w:rPr>
          <w:rFonts w:hint="eastAsia" w:ascii="宋体" w:hAnsi="宋体"/>
          <w:b/>
          <w:color w:val="000000" w:themeColor="text1"/>
          <w:sz w:val="28"/>
          <w:szCs w:val="36"/>
          <w:u w:val="thick"/>
          <w14:textFill>
            <w14:solidFill>
              <w14:schemeClr w14:val="tx1"/>
            </w14:solidFill>
          </w14:textFill>
        </w:rPr>
        <w:t>济南橡塑件公司新能源高压线束车间</w:t>
      </w:r>
    </w:p>
    <w:p>
      <w:pPr>
        <w:adjustRightInd w:val="0"/>
        <w:snapToGrid w:val="0"/>
        <w:spacing w:line="360" w:lineRule="auto"/>
        <w:ind w:firstLine="3117" w:firstLineChars="1109"/>
        <w:jc w:val="left"/>
        <w:rPr>
          <w:rFonts w:ascii="宋体" w:hAnsi="宋体"/>
          <w:b/>
          <w:color w:val="000000" w:themeColor="text1"/>
          <w:sz w:val="28"/>
          <w:szCs w:val="36"/>
          <w:u w:val="thick"/>
          <w14:textFill>
            <w14:solidFill>
              <w14:schemeClr w14:val="tx1"/>
            </w14:solidFill>
          </w14:textFill>
        </w:rPr>
      </w:pPr>
      <w:r>
        <w:rPr>
          <w:rFonts w:hint="eastAsia" w:ascii="宋体" w:hAnsi="宋体"/>
          <w:b/>
          <w:color w:val="000000" w:themeColor="text1"/>
          <w:sz w:val="28"/>
          <w:szCs w:val="36"/>
          <w:u w:val="thick"/>
          <w14:textFill>
            <w14:solidFill>
              <w14:schemeClr w14:val="tx1"/>
            </w14:solidFill>
          </w14:textFill>
        </w:rPr>
        <w:t xml:space="preserve">改造项目工程施工 </w:t>
      </w:r>
      <w:r>
        <w:rPr>
          <w:rFonts w:ascii="宋体" w:hAnsi="宋体"/>
          <w:b/>
          <w:color w:val="000000" w:themeColor="text1"/>
          <w:sz w:val="28"/>
          <w:szCs w:val="36"/>
          <w:u w:val="thick"/>
          <w14:textFill>
            <w14:solidFill>
              <w14:schemeClr w14:val="tx1"/>
            </w14:solidFill>
          </w14:textFill>
        </w:rPr>
        <w:t xml:space="preserve">               </w:t>
      </w:r>
    </w:p>
    <w:p>
      <w:pPr>
        <w:rPr>
          <w:rFonts w:eastAsia="楷体_GB2312"/>
          <w:color w:val="000000" w:themeColor="text1"/>
          <w:sz w:val="28"/>
          <w:szCs w:val="20"/>
          <w14:textFill>
            <w14:solidFill>
              <w14:schemeClr w14:val="tx1"/>
            </w14:solidFill>
          </w14:textFill>
        </w:rPr>
      </w:pPr>
    </w:p>
    <w:p>
      <w:pPr>
        <w:adjustRightInd w:val="0"/>
        <w:snapToGrid w:val="0"/>
        <w:spacing w:line="360" w:lineRule="auto"/>
        <w:ind w:firstLine="1701" w:firstLineChars="605"/>
        <w:jc w:val="left"/>
        <w:rPr>
          <w:rFonts w:ascii="宋体" w:hAnsi="宋体"/>
          <w:b/>
          <w:color w:val="000000" w:themeColor="text1"/>
          <w:sz w:val="28"/>
          <w:szCs w:val="36"/>
          <w14:textFill>
            <w14:solidFill>
              <w14:schemeClr w14:val="tx1"/>
            </w14:solidFill>
          </w14:textFill>
        </w:rPr>
      </w:pPr>
      <w:r>
        <w:rPr>
          <w:rFonts w:hint="eastAsia" w:ascii="宋体" w:hAnsi="宋体"/>
          <w:b/>
          <w:color w:val="000000" w:themeColor="text1"/>
          <w:sz w:val="28"/>
          <w:szCs w:val="36"/>
          <w14:textFill>
            <w14:solidFill>
              <w14:schemeClr w14:val="tx1"/>
            </w14:solidFill>
          </w14:textFill>
        </w:rPr>
        <w:t>发</w:t>
      </w:r>
      <w:r>
        <w:rPr>
          <w:rFonts w:ascii="宋体" w:hAnsi="宋体"/>
          <w:b/>
          <w:color w:val="000000" w:themeColor="text1"/>
          <w:sz w:val="28"/>
          <w:szCs w:val="36"/>
          <w14:textFill>
            <w14:solidFill>
              <w14:schemeClr w14:val="tx1"/>
            </w14:solidFill>
          </w14:textFill>
        </w:rPr>
        <w:t xml:space="preserve"> </w:t>
      </w:r>
      <w:r>
        <w:rPr>
          <w:rFonts w:hint="eastAsia" w:ascii="宋体" w:hAnsi="宋体"/>
          <w:b/>
          <w:color w:val="000000" w:themeColor="text1"/>
          <w:sz w:val="28"/>
          <w:szCs w:val="36"/>
          <w14:textFill>
            <w14:solidFill>
              <w14:schemeClr w14:val="tx1"/>
            </w14:solidFill>
          </w14:textFill>
        </w:rPr>
        <w:t>包</w:t>
      </w:r>
      <w:r>
        <w:rPr>
          <w:rFonts w:ascii="宋体" w:hAnsi="宋体"/>
          <w:b/>
          <w:color w:val="000000" w:themeColor="text1"/>
          <w:sz w:val="28"/>
          <w:szCs w:val="36"/>
          <w14:textFill>
            <w14:solidFill>
              <w14:schemeClr w14:val="tx1"/>
            </w14:solidFill>
          </w14:textFill>
        </w:rPr>
        <w:t xml:space="preserve"> </w:t>
      </w:r>
      <w:r>
        <w:rPr>
          <w:rFonts w:hint="eastAsia" w:ascii="宋体" w:hAnsi="宋体"/>
          <w:b/>
          <w:color w:val="000000" w:themeColor="text1"/>
          <w:sz w:val="28"/>
          <w:szCs w:val="36"/>
          <w14:textFill>
            <w14:solidFill>
              <w14:schemeClr w14:val="tx1"/>
            </w14:solidFill>
          </w14:textFill>
        </w:rPr>
        <w:t>人：</w:t>
      </w:r>
      <w:r>
        <w:rPr>
          <w:rFonts w:hint="eastAsia" w:ascii="宋体" w:hAnsi="宋体"/>
          <w:b/>
          <w:color w:val="000000" w:themeColor="text1"/>
          <w:sz w:val="28"/>
          <w:szCs w:val="36"/>
          <w:u w:val="thick"/>
          <w14:textFill>
            <w14:solidFill>
              <w14:schemeClr w14:val="tx1"/>
            </w14:solidFill>
          </w14:textFill>
        </w:rPr>
        <w:t xml:space="preserve"> 重汽（济南）车桥有限公司</w:t>
      </w:r>
      <w:r>
        <w:rPr>
          <w:rFonts w:ascii="宋体" w:hAnsi="宋体"/>
          <w:b/>
          <w:color w:val="000000" w:themeColor="text1"/>
          <w:sz w:val="28"/>
          <w:szCs w:val="36"/>
          <w:u w:val="thick"/>
          <w14:textFill>
            <w14:solidFill>
              <w14:schemeClr w14:val="tx1"/>
            </w14:solidFill>
          </w14:textFill>
        </w:rPr>
        <w:t xml:space="preserve"> </w:t>
      </w:r>
    </w:p>
    <w:p>
      <w:pPr>
        <w:adjustRightInd w:val="0"/>
        <w:snapToGrid w:val="0"/>
        <w:spacing w:line="360" w:lineRule="auto"/>
        <w:jc w:val="left"/>
        <w:rPr>
          <w:rFonts w:ascii="宋体" w:hAnsi="宋体"/>
          <w:b/>
          <w:color w:val="000000" w:themeColor="text1"/>
          <w:sz w:val="28"/>
          <w:szCs w:val="36"/>
          <w14:textFill>
            <w14:solidFill>
              <w14:schemeClr w14:val="tx1"/>
            </w14:solidFill>
          </w14:textFill>
        </w:rPr>
      </w:pPr>
    </w:p>
    <w:p>
      <w:pPr>
        <w:adjustRightInd w:val="0"/>
        <w:snapToGrid w:val="0"/>
        <w:spacing w:line="360" w:lineRule="auto"/>
        <w:ind w:firstLine="1701" w:firstLineChars="605"/>
        <w:jc w:val="left"/>
        <w:rPr>
          <w:rFonts w:ascii="宋体" w:hAnsi="宋体"/>
          <w:b/>
          <w:color w:val="000000" w:themeColor="text1"/>
          <w:sz w:val="28"/>
          <w:szCs w:val="36"/>
          <w14:textFill>
            <w14:solidFill>
              <w14:schemeClr w14:val="tx1"/>
            </w14:solidFill>
          </w14:textFill>
        </w:rPr>
      </w:pPr>
      <w:r>
        <w:rPr>
          <w:rFonts w:hint="eastAsia" w:ascii="宋体" w:hAnsi="宋体"/>
          <w:b/>
          <w:color w:val="000000" w:themeColor="text1"/>
          <w:sz w:val="28"/>
          <w:szCs w:val="36"/>
          <w14:textFill>
            <w14:solidFill>
              <w14:schemeClr w14:val="tx1"/>
            </w14:solidFill>
          </w14:textFill>
        </w:rPr>
        <w:t>承</w:t>
      </w:r>
      <w:r>
        <w:rPr>
          <w:rFonts w:ascii="宋体" w:hAnsi="宋体"/>
          <w:b/>
          <w:color w:val="000000" w:themeColor="text1"/>
          <w:sz w:val="28"/>
          <w:szCs w:val="36"/>
          <w14:textFill>
            <w14:solidFill>
              <w14:schemeClr w14:val="tx1"/>
            </w14:solidFill>
          </w14:textFill>
        </w:rPr>
        <w:t xml:space="preserve"> </w:t>
      </w:r>
      <w:r>
        <w:rPr>
          <w:rFonts w:hint="eastAsia" w:ascii="宋体" w:hAnsi="宋体"/>
          <w:b/>
          <w:color w:val="000000" w:themeColor="text1"/>
          <w:sz w:val="28"/>
          <w:szCs w:val="36"/>
          <w14:textFill>
            <w14:solidFill>
              <w14:schemeClr w14:val="tx1"/>
            </w14:solidFill>
          </w14:textFill>
        </w:rPr>
        <w:t>包</w:t>
      </w:r>
      <w:r>
        <w:rPr>
          <w:rFonts w:ascii="宋体" w:hAnsi="宋体"/>
          <w:b/>
          <w:color w:val="000000" w:themeColor="text1"/>
          <w:sz w:val="28"/>
          <w:szCs w:val="36"/>
          <w14:textFill>
            <w14:solidFill>
              <w14:schemeClr w14:val="tx1"/>
            </w14:solidFill>
          </w14:textFill>
        </w:rPr>
        <w:t xml:space="preserve"> </w:t>
      </w:r>
      <w:r>
        <w:rPr>
          <w:rFonts w:hint="eastAsia" w:ascii="宋体" w:hAnsi="宋体"/>
          <w:b/>
          <w:color w:val="000000" w:themeColor="text1"/>
          <w:sz w:val="28"/>
          <w:szCs w:val="36"/>
          <w14:textFill>
            <w14:solidFill>
              <w14:schemeClr w14:val="tx1"/>
            </w14:solidFill>
          </w14:textFill>
        </w:rPr>
        <w:t>人：</w:t>
      </w:r>
      <w:r>
        <w:rPr>
          <w:rFonts w:ascii="宋体" w:hAnsi="宋体"/>
          <w:b/>
          <w:color w:val="000000" w:themeColor="text1"/>
          <w:sz w:val="28"/>
          <w:szCs w:val="36"/>
          <w:u w:val="thick"/>
          <w14:textFill>
            <w14:solidFill>
              <w14:schemeClr w14:val="tx1"/>
            </w14:solidFill>
          </w14:textFill>
        </w:rPr>
        <w:t xml:space="preserve">                                </w:t>
      </w:r>
    </w:p>
    <w:p>
      <w:pPr>
        <w:rPr>
          <w:b/>
          <w:color w:val="000000" w:themeColor="text1"/>
          <w:sz w:val="28"/>
          <w14:textFill>
            <w14:solidFill>
              <w14:schemeClr w14:val="tx1"/>
            </w14:solidFill>
          </w14:textFill>
        </w:rPr>
      </w:pPr>
    </w:p>
    <w:p>
      <w:pPr>
        <w:rPr>
          <w:b/>
          <w:color w:val="000000" w:themeColor="text1"/>
          <w:sz w:val="28"/>
          <w14:textFill>
            <w14:solidFill>
              <w14:schemeClr w14:val="tx1"/>
            </w14:solidFill>
          </w14:textFill>
        </w:rPr>
      </w:pPr>
    </w:p>
    <w:p>
      <w:pPr>
        <w:pStyle w:val="80"/>
        <w:spacing w:before="156" w:after="156" w:line="240" w:lineRule="auto"/>
        <w:jc w:val="center"/>
        <w:rPr>
          <w:rFonts w:eastAsia="华文中宋"/>
          <w:color w:val="000000" w:themeColor="text1"/>
          <w14:textFill>
            <w14:solidFill>
              <w14:schemeClr w14:val="tx1"/>
            </w14:solidFill>
          </w14:textFill>
        </w:rPr>
        <w:sectPr>
          <w:headerReference r:id="rId9" w:type="first"/>
          <w:headerReference r:id="rId7" w:type="default"/>
          <w:footerReference r:id="rId10" w:type="default"/>
          <w:headerReference r:id="rId8" w:type="even"/>
          <w:footerReference r:id="rId11" w:type="even"/>
          <w:pgSz w:w="11906" w:h="16838"/>
          <w:pgMar w:top="1418" w:right="1555" w:bottom="567" w:left="1531" w:header="851" w:footer="992" w:gutter="0"/>
          <w:cols w:space="720" w:num="1"/>
          <w:titlePg/>
          <w:docGrid w:type="lines" w:linePitch="312" w:charSpace="0"/>
        </w:sectPr>
      </w:pPr>
    </w:p>
    <w:p>
      <w:pPr>
        <w:pStyle w:val="7"/>
        <w:spacing w:before="156" w:after="156"/>
        <w:jc w:val="center"/>
        <w:rPr>
          <w:rFonts w:eastAsia="华文中宋"/>
          <w:b w:val="0"/>
          <w:color w:val="000000" w:themeColor="text1"/>
          <w:sz w:val="44"/>
          <w:szCs w:val="44"/>
          <w14:textFill>
            <w14:solidFill>
              <w14:schemeClr w14:val="tx1"/>
            </w14:solidFill>
          </w14:textFill>
        </w:rPr>
      </w:pPr>
      <w:bookmarkStart w:id="102" w:name="_Toc211261916"/>
      <w:r>
        <w:rPr>
          <w:rFonts w:ascii="华文中宋" w:hAnsi="华文中宋" w:eastAsia="华文中宋"/>
          <w:color w:val="000000" w:themeColor="text1"/>
          <w:sz w:val="44"/>
          <w:szCs w:val="44"/>
          <w14:textFill>
            <w14:solidFill>
              <w14:schemeClr w14:val="tx1"/>
            </w14:solidFill>
          </w14:textFill>
        </w:rPr>
        <w:t>第一部分 合同协议书</w:t>
      </w:r>
      <w:bookmarkEnd w:id="102"/>
    </w:p>
    <w:p>
      <w:pPr>
        <w:spacing w:line="360" w:lineRule="auto"/>
        <w:rPr>
          <w:rFonts w:eastAsia="仿宋_GB2312"/>
          <w:b/>
          <w:color w:val="000000" w:themeColor="text1"/>
          <w:sz w:val="30"/>
          <w:szCs w:val="30"/>
          <w:u w:val="single"/>
          <w14:textFill>
            <w14:solidFill>
              <w14:schemeClr w14:val="tx1"/>
            </w14:solidFill>
          </w14:textFill>
        </w:rPr>
      </w:pPr>
      <w:r>
        <w:rPr>
          <w:rFonts w:hint="eastAsia" w:eastAsia="仿宋_GB2312"/>
          <w:b/>
          <w:color w:val="000000" w:themeColor="text1"/>
          <w:sz w:val="30"/>
          <w:szCs w:val="30"/>
          <w14:textFill>
            <w14:solidFill>
              <w14:schemeClr w14:val="tx1"/>
            </w14:solidFill>
          </w14:textFill>
        </w:rPr>
        <w:t>发包人（全称）：</w:t>
      </w:r>
      <w:r>
        <w:rPr>
          <w:rFonts w:hint="eastAsia" w:eastAsia="仿宋_GB2312"/>
          <w:b/>
          <w:color w:val="000000" w:themeColor="text1"/>
          <w:sz w:val="30"/>
          <w:szCs w:val="30"/>
          <w:u w:val="single"/>
          <w14:textFill>
            <w14:solidFill>
              <w14:schemeClr w14:val="tx1"/>
            </w14:solidFill>
          </w14:textFill>
        </w:rPr>
        <w:t>重汽（济南）车桥有限公司</w:t>
      </w:r>
    </w:p>
    <w:p>
      <w:pPr>
        <w:spacing w:line="360" w:lineRule="auto"/>
        <w:rPr>
          <w:rFonts w:eastAsia="仿宋_GB2312"/>
          <w:b/>
          <w:color w:val="000000" w:themeColor="text1"/>
          <w:sz w:val="30"/>
          <w:szCs w:val="30"/>
          <w14:textFill>
            <w14:solidFill>
              <w14:schemeClr w14:val="tx1"/>
            </w14:solidFill>
          </w14:textFill>
        </w:rPr>
      </w:pPr>
      <w:r>
        <w:rPr>
          <w:rFonts w:hint="eastAsia" w:eastAsia="仿宋_GB2312"/>
          <w:b/>
          <w:color w:val="000000" w:themeColor="text1"/>
          <w:sz w:val="30"/>
          <w:szCs w:val="30"/>
          <w14:textFill>
            <w14:solidFill>
              <w14:schemeClr w14:val="tx1"/>
            </w14:solidFill>
          </w14:textFill>
        </w:rPr>
        <w:t>住所：</w:t>
      </w:r>
      <w:r>
        <w:rPr>
          <w:rFonts w:hint="eastAsia" w:ascii="仿宋" w:hAnsi="仿宋" w:eastAsia="仿宋_GB2312" w:cs="仿宋"/>
          <w:b/>
          <w:color w:val="000000" w:themeColor="text1"/>
          <w:sz w:val="30"/>
          <w:szCs w:val="30"/>
          <w:u w:val="single"/>
          <w14:textFill>
            <w14:solidFill>
              <w14:schemeClr w14:val="tx1"/>
            </w14:solidFill>
          </w14:textFill>
        </w:rPr>
        <w:t>济南市高新区孙村镇西顿邱一、二、三村、许家村</w:t>
      </w:r>
    </w:p>
    <w:p>
      <w:pPr>
        <w:pStyle w:val="19"/>
      </w:pPr>
    </w:p>
    <w:p>
      <w:pPr>
        <w:spacing w:line="360" w:lineRule="auto"/>
        <w:rPr>
          <w:rFonts w:eastAsia="仿宋_GB2312"/>
          <w:b/>
          <w:color w:val="000000" w:themeColor="text1"/>
          <w:sz w:val="30"/>
          <w:szCs w:val="30"/>
          <w:u w:val="single"/>
          <w14:textFill>
            <w14:solidFill>
              <w14:schemeClr w14:val="tx1"/>
            </w14:solidFill>
          </w14:textFill>
        </w:rPr>
      </w:pPr>
      <w:r>
        <w:rPr>
          <w:rFonts w:hint="eastAsia" w:eastAsia="仿宋_GB2312"/>
          <w:b/>
          <w:color w:val="000000" w:themeColor="text1"/>
          <w:sz w:val="30"/>
          <w:szCs w:val="30"/>
          <w14:textFill>
            <w14:solidFill>
              <w14:schemeClr w14:val="tx1"/>
            </w14:solidFill>
          </w14:textFill>
        </w:rPr>
        <w:t>承包人（全称）：</w:t>
      </w:r>
      <w:r>
        <w:rPr>
          <w:rFonts w:hint="eastAsia" w:eastAsia="仿宋_GB2312"/>
          <w:b/>
          <w:color w:val="000000" w:themeColor="text1"/>
          <w:sz w:val="30"/>
          <w:szCs w:val="30"/>
          <w:u w:val="single"/>
          <w14:textFill>
            <w14:solidFill>
              <w14:schemeClr w14:val="tx1"/>
            </w14:solidFill>
          </w14:textFill>
        </w:rPr>
        <w:t xml:space="preserve">      </w:t>
      </w:r>
      <w:r>
        <w:rPr>
          <w:rFonts w:eastAsia="仿宋_GB2312"/>
          <w:b/>
          <w:color w:val="000000" w:themeColor="text1"/>
          <w:sz w:val="30"/>
          <w:szCs w:val="30"/>
          <w:u w:val="single"/>
          <w14:textFill>
            <w14:solidFill>
              <w14:schemeClr w14:val="tx1"/>
            </w14:solidFill>
          </w14:textFill>
        </w:rPr>
        <w:t xml:space="preserve">         </w:t>
      </w:r>
      <w:r>
        <w:rPr>
          <w:rFonts w:hint="eastAsia" w:eastAsia="仿宋_GB2312"/>
          <w:b/>
          <w:color w:val="000000" w:themeColor="text1"/>
          <w:sz w:val="30"/>
          <w:szCs w:val="30"/>
          <w:u w:val="single"/>
          <w14:textFill>
            <w14:solidFill>
              <w14:schemeClr w14:val="tx1"/>
            </w14:solidFill>
          </w14:textFill>
        </w:rPr>
        <w:t xml:space="preserve">      </w:t>
      </w:r>
      <w:r>
        <w:rPr>
          <w:rFonts w:eastAsia="仿宋_GB2312"/>
          <w:b/>
          <w:color w:val="000000" w:themeColor="text1"/>
          <w:sz w:val="30"/>
          <w:szCs w:val="30"/>
          <w:u w:val="single"/>
          <w14:textFill>
            <w14:solidFill>
              <w14:schemeClr w14:val="tx1"/>
            </w14:solidFill>
          </w14:textFill>
        </w:rPr>
        <w:t xml:space="preserve">      </w:t>
      </w:r>
      <w:r>
        <w:rPr>
          <w:rFonts w:hint="eastAsia" w:eastAsia="仿宋_GB2312"/>
          <w:b/>
          <w:color w:val="000000" w:themeColor="text1"/>
          <w:sz w:val="30"/>
          <w:szCs w:val="30"/>
          <w:u w:val="single"/>
          <w14:textFill>
            <w14:solidFill>
              <w14:schemeClr w14:val="tx1"/>
            </w14:solidFill>
          </w14:textFill>
        </w:rPr>
        <w:t xml:space="preserve"> </w:t>
      </w:r>
      <w:r>
        <w:rPr>
          <w:rFonts w:eastAsia="仿宋_GB2312"/>
          <w:b/>
          <w:color w:val="000000" w:themeColor="text1"/>
          <w:sz w:val="30"/>
          <w:szCs w:val="30"/>
          <w:u w:val="single"/>
          <w14:textFill>
            <w14:solidFill>
              <w14:schemeClr w14:val="tx1"/>
            </w14:solidFill>
          </w14:textFill>
        </w:rPr>
        <w:t xml:space="preserve">  </w:t>
      </w:r>
      <w:r>
        <w:rPr>
          <w:rFonts w:hint="eastAsia" w:eastAsia="仿宋_GB2312"/>
          <w:b/>
          <w:color w:val="000000" w:themeColor="text1"/>
          <w:sz w:val="30"/>
          <w:szCs w:val="30"/>
          <w:u w:val="single"/>
          <w14:textFill>
            <w14:solidFill>
              <w14:schemeClr w14:val="tx1"/>
            </w14:solidFill>
          </w14:textFill>
        </w:rPr>
        <w:t xml:space="preserve"> </w:t>
      </w:r>
    </w:p>
    <w:p>
      <w:pPr>
        <w:spacing w:line="360" w:lineRule="auto"/>
        <w:rPr>
          <w:rFonts w:eastAsia="仿宋_GB2312"/>
          <w:b/>
          <w:color w:val="000000" w:themeColor="text1"/>
          <w:sz w:val="30"/>
          <w:szCs w:val="30"/>
          <w14:textFill>
            <w14:solidFill>
              <w14:schemeClr w14:val="tx1"/>
            </w14:solidFill>
          </w14:textFill>
        </w:rPr>
      </w:pPr>
      <w:r>
        <w:rPr>
          <w:rFonts w:hint="eastAsia" w:eastAsia="仿宋_GB2312"/>
          <w:b/>
          <w:color w:val="000000" w:themeColor="text1"/>
          <w:sz w:val="30"/>
          <w:szCs w:val="30"/>
          <w14:textFill>
            <w14:solidFill>
              <w14:schemeClr w14:val="tx1"/>
            </w14:solidFill>
          </w14:textFill>
        </w:rPr>
        <w:t>住所：</w:t>
      </w:r>
      <w:r>
        <w:rPr>
          <w:rFonts w:hint="eastAsia" w:ascii="仿宋" w:hAnsi="仿宋" w:eastAsia="仿宋_GB2312" w:cs="仿宋"/>
          <w:b/>
          <w:color w:val="000000" w:themeColor="text1"/>
          <w:sz w:val="30"/>
          <w:szCs w:val="30"/>
          <w:u w:val="single"/>
          <w14:textFill>
            <w14:solidFill>
              <w14:schemeClr w14:val="tx1"/>
            </w14:solidFill>
          </w14:textFill>
        </w:rPr>
        <w:t xml:space="preserve">    </w:t>
      </w:r>
      <w:r>
        <w:rPr>
          <w:rFonts w:ascii="仿宋" w:hAnsi="仿宋" w:eastAsia="仿宋_GB2312" w:cs="仿宋"/>
          <w:b/>
          <w:color w:val="000000" w:themeColor="text1"/>
          <w:sz w:val="30"/>
          <w:szCs w:val="30"/>
          <w:u w:val="single"/>
          <w14:textFill>
            <w14:solidFill>
              <w14:schemeClr w14:val="tx1"/>
            </w14:solidFill>
          </w14:textFill>
        </w:rPr>
        <w:t xml:space="preserve">         </w:t>
      </w:r>
      <w:r>
        <w:rPr>
          <w:rFonts w:hint="eastAsia" w:ascii="仿宋" w:hAnsi="仿宋" w:eastAsia="仿宋_GB2312" w:cs="仿宋"/>
          <w:b/>
          <w:color w:val="000000" w:themeColor="text1"/>
          <w:sz w:val="30"/>
          <w:szCs w:val="30"/>
          <w:u w:val="single"/>
          <w14:textFill>
            <w14:solidFill>
              <w14:schemeClr w14:val="tx1"/>
            </w14:solidFill>
          </w14:textFill>
        </w:rPr>
        <w:t xml:space="preserve">     </w:t>
      </w:r>
    </w:p>
    <w:p>
      <w:pPr>
        <w:pStyle w:val="19"/>
      </w:pP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根据《中华人民共和国民法典》《中华人民共和国建筑法》及有关法律规定，遵循平等、自愿、公平和诚实信用的原则，双方就</w:t>
      </w:r>
      <w:r>
        <w:rPr>
          <w:rFonts w:hint="eastAsia" w:eastAsia="仿宋_GB2312"/>
          <w:color w:val="000000" w:themeColor="text1"/>
          <w:sz w:val="30"/>
          <w:szCs w:val="30"/>
          <w:u w:val="single"/>
          <w14:textFill>
            <w14:solidFill>
              <w14:schemeClr w14:val="tx1"/>
            </w14:solidFill>
          </w14:textFill>
        </w:rPr>
        <w:t>济南橡塑件公司新能源高压线束车间改造技改项目</w:t>
      </w:r>
      <w:r>
        <w:rPr>
          <w:rFonts w:hint="eastAsia" w:eastAsia="仿宋_GB2312"/>
          <w:color w:val="000000" w:themeColor="text1"/>
          <w:sz w:val="30"/>
          <w:szCs w:val="30"/>
          <w14:textFill>
            <w14:solidFill>
              <w14:schemeClr w14:val="tx1"/>
            </w14:solidFill>
          </w14:textFill>
        </w:rPr>
        <w:t>工程施工及有关事项协商一致，共同达成如下协议：</w:t>
      </w:r>
    </w:p>
    <w:p>
      <w:pPr>
        <w:pStyle w:val="8"/>
      </w:pPr>
      <w:r>
        <w:t xml:space="preserve">    </w:t>
      </w:r>
      <w:r>
        <w:rPr>
          <w:rFonts w:hint="eastAsia"/>
        </w:rPr>
        <w:t>一、工程概况</w:t>
      </w:r>
    </w:p>
    <w:p>
      <w:pPr>
        <w:spacing w:line="360" w:lineRule="auto"/>
        <w:ind w:firstLine="588" w:firstLineChars="196"/>
        <w:rPr>
          <w:rFonts w:eastAsia="仿宋_GB2312"/>
          <w:color w:val="000000" w:themeColor="text1"/>
          <w:sz w:val="30"/>
          <w:szCs w:val="30"/>
          <w:u w:val="single"/>
          <w14:textFill>
            <w14:solidFill>
              <w14:schemeClr w14:val="tx1"/>
            </w14:solidFill>
          </w14:textFill>
        </w:rPr>
      </w:pPr>
      <w:r>
        <w:rPr>
          <w:rFonts w:eastAsia="仿宋_GB2312"/>
          <w:bCs/>
          <w:color w:val="000000" w:themeColor="text1"/>
          <w:sz w:val="30"/>
          <w:szCs w:val="30"/>
          <w14:textFill>
            <w14:solidFill>
              <w14:schemeClr w14:val="tx1"/>
            </w14:solidFill>
          </w14:textFill>
        </w:rPr>
        <w:t>1.</w:t>
      </w:r>
      <w:r>
        <w:rPr>
          <w:rFonts w:hint="eastAsia" w:eastAsia="仿宋_GB2312"/>
          <w:bCs/>
          <w:color w:val="000000" w:themeColor="text1"/>
          <w:sz w:val="30"/>
          <w:szCs w:val="30"/>
          <w14:textFill>
            <w14:solidFill>
              <w14:schemeClr w14:val="tx1"/>
            </w14:solidFill>
          </w14:textFill>
        </w:rPr>
        <w:t>工程名称</w:t>
      </w:r>
      <w:r>
        <w:rPr>
          <w:rFonts w:hint="eastAsia"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u w:val="single"/>
          <w14:textFill>
            <w14:solidFill>
              <w14:schemeClr w14:val="tx1"/>
            </w14:solidFill>
          </w14:textFill>
        </w:rPr>
        <w:t>济南橡塑件公司新能源高压线束车间改造技改项目工程施工</w:t>
      </w:r>
      <w:r>
        <w:rPr>
          <w:rFonts w:hint="eastAsia" w:eastAsia="仿宋_GB2312"/>
          <w:color w:val="000000" w:themeColor="text1"/>
          <w:sz w:val="30"/>
          <w:szCs w:val="30"/>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2.</w:t>
      </w:r>
      <w:r>
        <w:rPr>
          <w:rFonts w:hint="eastAsia" w:eastAsia="仿宋_GB2312"/>
          <w:bCs/>
          <w:color w:val="000000" w:themeColor="text1"/>
          <w:sz w:val="30"/>
          <w:szCs w:val="30"/>
          <w14:textFill>
            <w14:solidFill>
              <w14:schemeClr w14:val="tx1"/>
            </w14:solidFill>
          </w14:textFill>
        </w:rPr>
        <w:t>工程地点：</w:t>
      </w:r>
      <w:r>
        <w:rPr>
          <w:rFonts w:hint="eastAsia" w:eastAsia="仿宋_GB2312"/>
          <w:color w:val="000000" w:themeColor="text1"/>
          <w:sz w:val="30"/>
          <w:szCs w:val="30"/>
          <w:u w:val="single"/>
          <w14:textFill>
            <w14:solidFill>
              <w14:schemeClr w14:val="tx1"/>
            </w14:solidFill>
          </w14:textFill>
        </w:rPr>
        <w:t>山东省济南市市中区</w:t>
      </w:r>
      <w:r>
        <w:rPr>
          <w:rFonts w:hint="eastAsia" w:eastAsia="仿宋_GB2312"/>
          <w:color w:val="000000" w:themeColor="text1"/>
          <w:sz w:val="30"/>
          <w:szCs w:val="30"/>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3.</w:t>
      </w:r>
      <w:r>
        <w:rPr>
          <w:rFonts w:hint="eastAsia" w:eastAsia="仿宋_GB2312"/>
          <w:bCs/>
          <w:color w:val="000000" w:themeColor="text1"/>
          <w:sz w:val="30"/>
          <w:szCs w:val="30"/>
          <w14:textFill>
            <w14:solidFill>
              <w14:schemeClr w14:val="tx1"/>
            </w14:solidFill>
          </w14:textFill>
        </w:rPr>
        <w:t>工程立项批准文号：</w:t>
      </w:r>
      <w:r>
        <w:rPr>
          <w:rFonts w:hint="eastAsia" w:eastAsia="仿宋_GB2312"/>
          <w:i/>
          <w:iCs/>
          <w:color w:val="000000" w:themeColor="text1"/>
          <w:sz w:val="30"/>
          <w:szCs w:val="30"/>
          <w:u w:val="single"/>
          <w14:textFill>
            <w14:solidFill>
              <w14:schemeClr w14:val="tx1"/>
            </w14:solidFill>
          </w14:textFill>
        </w:rPr>
        <w:t xml:space="preserve"> </w:t>
      </w:r>
      <w:r>
        <w:rPr>
          <w:rFonts w:eastAsia="仿宋_GB2312"/>
          <w:i/>
          <w:i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4.</w:t>
      </w:r>
      <w:r>
        <w:rPr>
          <w:rFonts w:hint="eastAsia" w:eastAsia="仿宋_GB2312"/>
          <w:bCs/>
          <w:color w:val="000000" w:themeColor="text1"/>
          <w:sz w:val="30"/>
          <w:szCs w:val="30"/>
          <w14:textFill>
            <w14:solidFill>
              <w14:schemeClr w14:val="tx1"/>
            </w14:solidFill>
          </w14:textFill>
        </w:rPr>
        <w:t>资金来源：</w:t>
      </w:r>
      <w:r>
        <w:rPr>
          <w:rFonts w:hint="eastAsia" w:eastAsia="仿宋_GB2312"/>
          <w:color w:val="000000" w:themeColor="text1"/>
          <w:sz w:val="30"/>
          <w:szCs w:val="30"/>
          <w:u w:val="single"/>
          <w14:textFill>
            <w14:solidFill>
              <w14:schemeClr w14:val="tx1"/>
            </w14:solidFill>
          </w14:textFill>
        </w:rPr>
        <w:t>企业自筹</w:t>
      </w:r>
      <w:r>
        <w:rPr>
          <w:rFonts w:hint="eastAsia" w:eastAsia="仿宋_GB2312"/>
          <w:bCs/>
          <w:color w:val="000000" w:themeColor="text1"/>
          <w:sz w:val="30"/>
          <w:szCs w:val="30"/>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5.</w:t>
      </w:r>
      <w:r>
        <w:rPr>
          <w:rFonts w:hint="eastAsia" w:eastAsia="仿宋_GB2312"/>
          <w:bCs/>
          <w:color w:val="000000" w:themeColor="text1"/>
          <w:sz w:val="30"/>
          <w:szCs w:val="30"/>
          <w14:textFill>
            <w14:solidFill>
              <w14:schemeClr w14:val="tx1"/>
            </w14:solidFill>
          </w14:textFill>
        </w:rPr>
        <w:t>工程内容：</w:t>
      </w:r>
      <w:r>
        <w:rPr>
          <w:rFonts w:hint="eastAsia" w:eastAsia="仿宋_GB2312"/>
          <w:i/>
          <w:iCs/>
          <w:color w:val="000000" w:themeColor="text1"/>
          <w:sz w:val="30"/>
          <w:szCs w:val="30"/>
          <w:u w:val="single"/>
          <w14:textFill>
            <w14:solidFill>
              <w14:schemeClr w14:val="tx1"/>
            </w14:solidFill>
          </w14:textFill>
        </w:rPr>
        <w:t>按招标文件填写</w:t>
      </w:r>
      <w:r>
        <w:rPr>
          <w:rFonts w:hint="eastAsia" w:eastAsia="仿宋_GB2312"/>
          <w:bCs/>
          <w:color w:val="000000" w:themeColor="text1"/>
          <w:sz w:val="30"/>
          <w:szCs w:val="30"/>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hint="eastAsia" w:eastAsia="仿宋_GB2312"/>
          <w:color w:val="000000" w:themeColor="text1"/>
          <w:sz w:val="30"/>
          <w:szCs w:val="32"/>
          <w14:textFill>
            <w14:solidFill>
              <w14:schemeClr w14:val="tx1"/>
            </w14:solidFill>
          </w14:textFill>
        </w:rPr>
        <w:t>群体工程应附《承包人承揽工程项目一览表》（附件</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w:t>
      </w:r>
    </w:p>
    <w:p>
      <w:pPr>
        <w:spacing w:line="360" w:lineRule="auto"/>
        <w:ind w:firstLine="588" w:firstLineChars="196"/>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6.</w:t>
      </w:r>
      <w:r>
        <w:rPr>
          <w:rFonts w:hint="eastAsia" w:eastAsia="仿宋_GB2312"/>
          <w:bCs/>
          <w:color w:val="000000" w:themeColor="text1"/>
          <w:sz w:val="30"/>
          <w:szCs w:val="30"/>
          <w14:textFill>
            <w14:solidFill>
              <w14:schemeClr w14:val="tx1"/>
            </w14:solidFill>
          </w14:textFill>
        </w:rPr>
        <w:t>工程承包范围：</w:t>
      </w:r>
    </w:p>
    <w:p>
      <w:pPr>
        <w:spacing w:after="156" w:line="360" w:lineRule="auto"/>
        <w:ind w:firstLine="600" w:firstLineChars="200"/>
        <w:rPr>
          <w:rFonts w:eastAsia="仿宋_GB2312"/>
          <w:color w:val="000000" w:themeColor="text1"/>
          <w:sz w:val="30"/>
          <w:szCs w:val="30"/>
          <w:u w:val="single"/>
          <w14:textFill>
            <w14:solidFill>
              <w14:schemeClr w14:val="tx1"/>
            </w14:solidFill>
          </w14:textFill>
        </w:rPr>
      </w:pPr>
      <w:r>
        <w:rPr>
          <w:rFonts w:hint="eastAsia" w:eastAsia="仿宋_GB2312"/>
          <w:i/>
          <w:iCs/>
          <w:color w:val="000000" w:themeColor="text1"/>
          <w:sz w:val="30"/>
          <w:szCs w:val="30"/>
          <w:u w:val="single"/>
          <w14:textFill>
            <w14:solidFill>
              <w14:schemeClr w14:val="tx1"/>
            </w14:solidFill>
          </w14:textFill>
        </w:rPr>
        <w:t>本工程承包范围为除发包人专业分包工程及发包人供货的材料及设备外，本工程设计图纸内所包含的土建、装饰、安装工程等，以及质量保修期内的质保服务，包括发包人设计变更、工作联系单涉及补充、完善和变更施工内容以及生产工艺设备的水、电、气等公用管线的连接以及配合调试</w:t>
      </w:r>
      <w:r>
        <w:rPr>
          <w:rFonts w:hint="eastAsia" w:eastAsia="仿宋_GB2312"/>
          <w:color w:val="000000" w:themeColor="text1"/>
          <w:sz w:val="30"/>
          <w:szCs w:val="30"/>
          <w:u w:val="single"/>
          <w14:textFill>
            <w14:solidFill>
              <w14:schemeClr w14:val="tx1"/>
            </w14:solidFill>
          </w14:textFill>
        </w:rPr>
        <w:t>。</w:t>
      </w:r>
    </w:p>
    <w:p>
      <w:pPr>
        <w:spacing w:line="360" w:lineRule="auto"/>
        <w:ind w:firstLine="888" w:firstLineChars="296"/>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sym w:font="Wingdings 2" w:char="00A3"/>
      </w:r>
      <w:r>
        <w:rPr>
          <w:rFonts w:hint="eastAsia" w:eastAsia="仿宋_GB2312"/>
          <w:color w:val="000000" w:themeColor="text1"/>
          <w:sz w:val="30"/>
          <w:szCs w:val="32"/>
          <w:u w:val="single"/>
          <w14:textFill>
            <w14:solidFill>
              <w14:schemeClr w14:val="tx1"/>
            </w14:solidFill>
          </w14:textFill>
        </w:rPr>
        <w:t>详细的工程施工界面划分表：详见附件</w:t>
      </w:r>
      <w:r>
        <w:rPr>
          <w:rFonts w:eastAsia="仿宋_GB2312"/>
          <w:color w:val="000000" w:themeColor="text1"/>
          <w:sz w:val="30"/>
          <w:szCs w:val="32"/>
          <w:u w:val="single"/>
          <w14:textFill>
            <w14:solidFill>
              <w14:schemeClr w14:val="tx1"/>
            </w14:solidFill>
          </w14:textFill>
        </w:rPr>
        <w:t>2</w:t>
      </w:r>
      <w:r>
        <w:rPr>
          <w:rFonts w:hint="eastAsia" w:eastAsia="仿宋_GB2312"/>
          <w:color w:val="000000" w:themeColor="text1"/>
          <w:sz w:val="30"/>
          <w:szCs w:val="32"/>
          <w:u w:val="single"/>
          <w14:textFill>
            <w14:solidFill>
              <w14:schemeClr w14:val="tx1"/>
            </w14:solidFill>
          </w14:textFill>
        </w:rPr>
        <w:t>。</w:t>
      </w:r>
    </w:p>
    <w:p>
      <w:pPr>
        <w:pStyle w:val="8"/>
      </w:pPr>
      <w:r>
        <w:t xml:space="preserve">    </w:t>
      </w:r>
      <w:r>
        <w:rPr>
          <w:rFonts w:hint="eastAsia"/>
        </w:rPr>
        <w:t>二、合同工期</w:t>
      </w:r>
    </w:p>
    <w:p>
      <w:pPr>
        <w:spacing w:line="360" w:lineRule="auto"/>
        <w:ind w:firstLine="459"/>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计划开工日期：</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w:t>
      </w:r>
    </w:p>
    <w:p>
      <w:pPr>
        <w:spacing w:line="360" w:lineRule="auto"/>
        <w:ind w:firstLine="459"/>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计划竣工日期：</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w:t>
      </w:r>
    </w:p>
    <w:p>
      <w:pPr>
        <w:spacing w:line="360" w:lineRule="auto"/>
        <w:ind w:firstLine="459"/>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工期总日历天数：</w:t>
      </w:r>
      <w:r>
        <w:rPr>
          <w:rFonts w:hint="eastAsia"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天。工期总日历天数与根据前述计划开竣工日期计算的工期天数不一致的，以工期总日历天数为准。</w:t>
      </w:r>
    </w:p>
    <w:p>
      <w:pPr>
        <w:spacing w:line="360" w:lineRule="auto"/>
        <w:ind w:firstLine="588" w:firstLineChars="196"/>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sym w:font="Wingdings 2" w:char="00A3"/>
      </w:r>
      <w:r>
        <w:rPr>
          <w:rFonts w:hint="eastAsia" w:eastAsia="仿宋_GB2312"/>
          <w:color w:val="000000" w:themeColor="text1"/>
          <w:sz w:val="30"/>
          <w:szCs w:val="32"/>
          <w:u w:val="single"/>
          <w14:textFill>
            <w14:solidFill>
              <w14:schemeClr w14:val="tx1"/>
            </w14:solidFill>
          </w14:textFill>
        </w:rPr>
        <w:t>其中关键节点工期计划：详见附件</w:t>
      </w:r>
      <w:r>
        <w:rPr>
          <w:rFonts w:eastAsia="仿宋_GB2312"/>
          <w:color w:val="000000" w:themeColor="text1"/>
          <w:sz w:val="30"/>
          <w:szCs w:val="32"/>
          <w:u w:val="single"/>
          <w14:textFill>
            <w14:solidFill>
              <w14:schemeClr w14:val="tx1"/>
            </w14:solidFill>
          </w14:textFill>
        </w:rPr>
        <w:t>3</w:t>
      </w:r>
      <w:r>
        <w:rPr>
          <w:rFonts w:hint="eastAsia" w:eastAsia="仿宋_GB2312"/>
          <w:color w:val="000000" w:themeColor="text1"/>
          <w:sz w:val="30"/>
          <w:szCs w:val="32"/>
          <w:u w:val="single"/>
          <w14:textFill>
            <w14:solidFill>
              <w14:schemeClr w14:val="tx1"/>
            </w14:solidFill>
          </w14:textFill>
        </w:rPr>
        <w:t>。</w:t>
      </w:r>
    </w:p>
    <w:p>
      <w:pPr>
        <w:pStyle w:val="8"/>
      </w:pPr>
      <w:r>
        <w:t xml:space="preserve">    </w:t>
      </w:r>
      <w:r>
        <w:rPr>
          <w:rFonts w:hint="eastAsia"/>
        </w:rPr>
        <w:t>三、质量标准</w:t>
      </w:r>
    </w:p>
    <w:p>
      <w:pPr>
        <w:spacing w:line="360" w:lineRule="auto"/>
        <w:ind w:firstLine="459"/>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工程质量符合</w:t>
      </w:r>
      <w:r>
        <w:rPr>
          <w:rFonts w:hint="eastAsia" w:eastAsia="仿宋_GB2312"/>
          <w:color w:val="000000" w:themeColor="text1"/>
          <w:sz w:val="30"/>
          <w:szCs w:val="30"/>
          <w:u w:val="single"/>
          <w14:textFill>
            <w14:solidFill>
              <w14:schemeClr w14:val="tx1"/>
            </w14:solidFill>
          </w14:textFill>
        </w:rPr>
        <w:t>合格</w:t>
      </w:r>
      <w:r>
        <w:rPr>
          <w:rFonts w:hint="eastAsia" w:eastAsia="仿宋_GB2312"/>
          <w:color w:val="000000" w:themeColor="text1"/>
          <w:sz w:val="30"/>
          <w:szCs w:val="30"/>
          <w14:textFill>
            <w14:solidFill>
              <w14:schemeClr w14:val="tx1"/>
            </w14:solidFill>
          </w14:textFill>
        </w:rPr>
        <w:t>标准。</w:t>
      </w:r>
    </w:p>
    <w:p>
      <w:pPr>
        <w:pStyle w:val="8"/>
      </w:pPr>
      <w:r>
        <w:t xml:space="preserve">    </w:t>
      </w:r>
      <w:r>
        <w:rPr>
          <w:rFonts w:hint="eastAsia"/>
        </w:rPr>
        <w:t>四、签约合同价与合同价格形式</w:t>
      </w:r>
      <w:r>
        <w:tab/>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签约合同暂定价为：</w:t>
      </w:r>
    </w:p>
    <w:p>
      <w:pPr>
        <w:spacing w:line="360" w:lineRule="auto"/>
        <w:ind w:firstLine="750" w:firstLineChars="25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不含税价为人民币¥</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元（大写：</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），增值税税率</w:t>
      </w:r>
      <w:r>
        <w:rPr>
          <w:rFonts w:hint="eastAsia" w:eastAsia="仿宋_GB2312"/>
          <w:color w:val="000000" w:themeColor="text1"/>
          <w:sz w:val="30"/>
          <w:szCs w:val="30"/>
          <w:u w:val="single"/>
          <w14:textFill>
            <w14:solidFill>
              <w14:schemeClr w14:val="tx1"/>
            </w14:solidFill>
          </w14:textFill>
        </w:rPr>
        <w:t>【】</w:t>
      </w:r>
      <w:r>
        <w:rPr>
          <w:rFonts w:hint="eastAsia" w:eastAsia="仿宋_GB2312"/>
          <w:color w:val="000000" w:themeColor="text1"/>
          <w:sz w:val="30"/>
          <w:szCs w:val="30"/>
          <w14:textFill>
            <w14:solidFill>
              <w14:schemeClr w14:val="tx1"/>
            </w14:solidFill>
          </w14:textFill>
        </w:rPr>
        <w:t>%，税额</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元，含税价</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元人民币（大写：</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），如国家出台新政策对增值税率进行了调整，则不含税价款不变，本合同含税总价在不含税价基础上根据国家最新税法进行相应的调整。</w:t>
      </w:r>
    </w:p>
    <w:p>
      <w:pPr>
        <w:spacing w:line="360" w:lineRule="auto"/>
        <w:ind w:firstLine="600" w:firstLineChars="200"/>
        <w:rPr>
          <w:rFonts w:ascii="仿宋_GB2312" w:eastAsia="仿宋_GB2312"/>
        </w:rPr>
      </w:pPr>
      <w:r>
        <w:rPr>
          <w:rFonts w:hint="eastAsia" w:ascii="仿宋_GB2312" w:hAnsi="仿宋" w:eastAsia="仿宋_GB2312" w:cs="仿宋"/>
          <w:bCs/>
          <w:sz w:val="30"/>
          <w:szCs w:val="30"/>
        </w:rPr>
        <w:sym w:font="Wingdings 2" w:char="F052"/>
      </w:r>
      <w:r>
        <w:rPr>
          <w:rFonts w:hint="eastAsia" w:ascii="仿宋_GB2312" w:hAnsi="仿宋" w:eastAsia="仿宋_GB2312" w:cs="仿宋"/>
          <w:bCs/>
          <w:sz w:val="30"/>
          <w:szCs w:val="30"/>
        </w:rPr>
        <w:t>合同清单部分的价格结算时按照承包人开标修正后的已标价工程量清单价格乘下浮系数（商务标最后一轮澄清含税总报价扣除固定费用/开标清标修正后的含税总报价扣除固定费用）执行，单独澄清的清单项除外。</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其中：以下价格均为含税价格</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）安全文明施工费：</w:t>
      </w:r>
    </w:p>
    <w:p>
      <w:pPr>
        <w:spacing w:line="360" w:lineRule="auto"/>
        <w:ind w:firstLine="1350" w:firstLineChars="45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人民币（大写）</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2</w:t>
      </w:r>
      <w:r>
        <w:rPr>
          <w:rFonts w:hint="eastAsia" w:eastAsia="仿宋_GB2312"/>
          <w:color w:val="000000" w:themeColor="text1"/>
          <w:sz w:val="30"/>
          <w:szCs w:val="30"/>
          <w14:textFill>
            <w14:solidFill>
              <w14:schemeClr w14:val="tx1"/>
            </w14:solidFill>
          </w14:textFill>
        </w:rPr>
        <w:t>）材料和工程设备暂估价金额：</w:t>
      </w:r>
    </w:p>
    <w:p>
      <w:pPr>
        <w:spacing w:line="360" w:lineRule="auto"/>
        <w:ind w:firstLine="1350" w:firstLineChars="45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人民币（大写）</w:t>
      </w:r>
      <w:r>
        <w:rPr>
          <w:rFonts w:eastAsia="仿宋_GB2312"/>
          <w:color w:val="000000" w:themeColor="text1"/>
          <w:sz w:val="30"/>
          <w:szCs w:val="30"/>
          <w:u w:val="single"/>
          <w14:textFill>
            <w14:solidFill>
              <w14:schemeClr w14:val="tx1"/>
            </w14:solidFill>
          </w14:textFill>
        </w:rPr>
        <w:t xml:space="preserve">  / </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3</w:t>
      </w:r>
      <w:r>
        <w:rPr>
          <w:rFonts w:hint="eastAsia" w:eastAsia="仿宋_GB2312"/>
          <w:color w:val="000000" w:themeColor="text1"/>
          <w:sz w:val="30"/>
          <w:szCs w:val="30"/>
          <w14:textFill>
            <w14:solidFill>
              <w14:schemeClr w14:val="tx1"/>
            </w14:solidFill>
          </w14:textFill>
        </w:rPr>
        <w:t>）专业工程暂估价金额：</w:t>
      </w:r>
    </w:p>
    <w:p>
      <w:pPr>
        <w:spacing w:line="360" w:lineRule="auto"/>
        <w:ind w:firstLine="1350" w:firstLineChars="45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人民币（大写）</w:t>
      </w:r>
      <w:r>
        <w:rPr>
          <w:rFonts w:eastAsia="仿宋_GB2312"/>
          <w:color w:val="000000" w:themeColor="text1"/>
          <w:sz w:val="30"/>
          <w:szCs w:val="30"/>
          <w:u w:val="single"/>
          <w14:textFill>
            <w14:solidFill>
              <w14:schemeClr w14:val="tx1"/>
            </w14:solidFill>
          </w14:textFill>
        </w:rPr>
        <w:t xml:space="preserve">  / </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4</w:t>
      </w:r>
      <w:r>
        <w:rPr>
          <w:rFonts w:hint="eastAsia" w:eastAsia="仿宋_GB2312"/>
          <w:color w:val="000000" w:themeColor="text1"/>
          <w:sz w:val="30"/>
          <w:szCs w:val="30"/>
          <w14:textFill>
            <w14:solidFill>
              <w14:schemeClr w14:val="tx1"/>
            </w14:solidFill>
          </w14:textFill>
        </w:rPr>
        <w:t>）暂列金额：</w:t>
      </w:r>
    </w:p>
    <w:p>
      <w:pPr>
        <w:spacing w:line="360" w:lineRule="auto"/>
        <w:ind w:firstLine="1350" w:firstLineChars="45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人民币（大写）</w:t>
      </w:r>
      <w:r>
        <w:rPr>
          <w:rFonts w:eastAsia="仿宋_GB2312"/>
          <w:color w:val="000000" w:themeColor="text1"/>
          <w:sz w:val="30"/>
          <w:szCs w:val="30"/>
          <w:u w:val="single"/>
          <w14:textFill>
            <w14:solidFill>
              <w14:schemeClr w14:val="tx1"/>
            </w14:solidFill>
          </w14:textFill>
        </w:rPr>
        <w:t xml:space="preserve">  /  </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w:t>
      </w:r>
    </w:p>
    <w:p>
      <w:pPr>
        <w:numPr>
          <w:ilvl w:val="0"/>
          <w:numId w:val="9"/>
        </w:numPr>
        <w:spacing w:line="360" w:lineRule="auto"/>
        <w:ind w:firstLine="600" w:firstLineChars="200"/>
        <w:rPr>
          <w:rFonts w:eastAsia="仿宋_GB2312"/>
          <w:i/>
          <w:iCs/>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合同价格形式：</w:t>
      </w:r>
      <w:r>
        <w:rPr>
          <w:rFonts w:hint="eastAsia" w:eastAsia="仿宋_GB2312"/>
          <w:color w:val="000000" w:themeColor="text1"/>
          <w:sz w:val="30"/>
          <w:szCs w:val="30"/>
          <w:u w:val="single"/>
          <w14:textFill>
            <w14:solidFill>
              <w14:schemeClr w14:val="tx1"/>
            </w14:solidFill>
          </w14:textFill>
        </w:rPr>
        <w:t>单价合同</w:t>
      </w:r>
    </w:p>
    <w:p>
      <w:pPr>
        <w:pStyle w:val="8"/>
      </w:pPr>
      <w:r>
        <w:t xml:space="preserve">    </w:t>
      </w:r>
      <w:r>
        <w:rPr>
          <w:rFonts w:hint="eastAsia"/>
        </w:rPr>
        <w:t>五、项目经理</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承包人项目经理：</w:t>
      </w:r>
      <w:r>
        <w:rPr>
          <w:rFonts w:hint="eastAsia" w:eastAsia="仿宋_GB2312"/>
          <w:i/>
          <w:iCs/>
          <w:color w:val="000000" w:themeColor="text1"/>
          <w:sz w:val="30"/>
          <w:szCs w:val="30"/>
          <w:u w:val="single"/>
          <w14:textFill>
            <w14:solidFill>
              <w14:schemeClr w14:val="tx1"/>
            </w14:solidFill>
          </w14:textFill>
        </w:rPr>
        <w:t>与投标文件一致</w:t>
      </w:r>
      <w:r>
        <w:rPr>
          <w:rFonts w:hint="eastAsia" w:eastAsia="仿宋_GB2312"/>
          <w:color w:val="000000" w:themeColor="text1"/>
          <w:sz w:val="30"/>
          <w:szCs w:val="30"/>
          <w14:textFill>
            <w14:solidFill>
              <w14:schemeClr w14:val="tx1"/>
            </w14:solidFill>
          </w14:textFill>
        </w:rPr>
        <w:t>。</w:t>
      </w:r>
    </w:p>
    <w:p>
      <w:pPr>
        <w:pStyle w:val="8"/>
      </w:pPr>
      <w:r>
        <w:t xml:space="preserve">    </w:t>
      </w:r>
      <w:r>
        <w:rPr>
          <w:rFonts w:hint="eastAsia"/>
        </w:rPr>
        <w:t>六、合同文件构成</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本协议书与下列文件一起构成合同文件：</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）补充协议、承诺书（若有）；</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2</w:t>
      </w:r>
      <w:r>
        <w:rPr>
          <w:rFonts w:hint="eastAsia" w:eastAsia="仿宋_GB2312"/>
          <w:color w:val="000000" w:themeColor="text1"/>
          <w:sz w:val="30"/>
          <w:szCs w:val="30"/>
          <w14:textFill>
            <w14:solidFill>
              <w14:schemeClr w14:val="tx1"/>
            </w14:solidFill>
          </w14:textFill>
        </w:rPr>
        <w:t>）中标通知书（若有）；</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3</w:t>
      </w:r>
      <w:r>
        <w:rPr>
          <w:rFonts w:hint="eastAsia" w:eastAsia="仿宋_GB2312"/>
          <w:color w:val="000000" w:themeColor="text1"/>
          <w:sz w:val="30"/>
          <w:szCs w:val="30"/>
          <w14:textFill>
            <w14:solidFill>
              <w14:schemeClr w14:val="tx1"/>
            </w14:solidFill>
          </w14:textFill>
        </w:rPr>
        <w:t>）专用合同条款及其附件；</w:t>
      </w:r>
      <w:r>
        <w:rPr>
          <w:rFonts w:eastAsia="仿宋_GB2312"/>
          <w:color w:val="000000" w:themeColor="text1"/>
          <w:sz w:val="30"/>
          <w:szCs w:val="30"/>
          <w14:textFill>
            <w14:solidFill>
              <w14:schemeClr w14:val="tx1"/>
            </w14:solidFill>
          </w14:textFill>
        </w:rPr>
        <w:t xml:space="preserve"> </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4</w:t>
      </w:r>
      <w:r>
        <w:rPr>
          <w:rFonts w:hint="eastAsia" w:eastAsia="仿宋_GB2312"/>
          <w:color w:val="000000" w:themeColor="text1"/>
          <w:sz w:val="30"/>
          <w:szCs w:val="30"/>
          <w14:textFill>
            <w14:solidFill>
              <w14:schemeClr w14:val="tx1"/>
            </w14:solidFill>
          </w14:textFill>
        </w:rPr>
        <w:t>）招标文件及答疑文件；</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5</w:t>
      </w:r>
      <w:r>
        <w:rPr>
          <w:rFonts w:hint="eastAsia" w:eastAsia="仿宋_GB2312"/>
          <w:color w:val="000000" w:themeColor="text1"/>
          <w:sz w:val="30"/>
          <w:szCs w:val="30"/>
          <w14:textFill>
            <w14:solidFill>
              <w14:schemeClr w14:val="tx1"/>
            </w14:solidFill>
          </w14:textFill>
        </w:rPr>
        <w:t>）通用合同条款</w:t>
      </w:r>
      <w:r>
        <w:rPr>
          <w:rFonts w:eastAsia="仿宋_GB2312"/>
          <w:color w:val="000000" w:themeColor="text1"/>
          <w:sz w:val="30"/>
          <w:szCs w:val="30"/>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6</w:t>
      </w:r>
      <w:r>
        <w:rPr>
          <w:rFonts w:hint="eastAsia" w:eastAsia="仿宋_GB2312"/>
          <w:color w:val="000000" w:themeColor="text1"/>
          <w:sz w:val="30"/>
          <w:szCs w:val="30"/>
          <w14:textFill>
            <w14:solidFill>
              <w14:schemeClr w14:val="tx1"/>
            </w14:solidFill>
          </w14:textFill>
        </w:rPr>
        <w:t>）投标函及其附录（若有）；</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7</w:t>
      </w:r>
      <w:r>
        <w:rPr>
          <w:rFonts w:hint="eastAsia" w:eastAsia="仿宋_GB2312"/>
          <w:color w:val="000000" w:themeColor="text1"/>
          <w:sz w:val="30"/>
          <w:szCs w:val="30"/>
          <w14:textFill>
            <w14:solidFill>
              <w14:schemeClr w14:val="tx1"/>
            </w14:solidFill>
          </w14:textFill>
        </w:rPr>
        <w:t>）投标文件</w:t>
      </w:r>
      <w:r>
        <w:rPr>
          <w:rFonts w:eastAsia="仿宋_GB2312"/>
          <w:color w:val="000000" w:themeColor="text1"/>
          <w:sz w:val="30"/>
          <w:szCs w:val="30"/>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8</w:t>
      </w:r>
      <w:r>
        <w:rPr>
          <w:rFonts w:hint="eastAsia" w:eastAsia="仿宋_GB2312"/>
          <w:color w:val="000000" w:themeColor="text1"/>
          <w:sz w:val="30"/>
          <w:szCs w:val="30"/>
          <w14:textFill>
            <w14:solidFill>
              <w14:schemeClr w14:val="tx1"/>
            </w14:solidFill>
          </w14:textFill>
        </w:rPr>
        <w:t>）图纸；</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9</w:t>
      </w:r>
      <w:r>
        <w:rPr>
          <w:rFonts w:hint="eastAsia" w:eastAsia="仿宋_GB2312"/>
          <w:color w:val="000000" w:themeColor="text1"/>
          <w:sz w:val="30"/>
          <w:szCs w:val="30"/>
          <w14:textFill>
            <w14:solidFill>
              <w14:schemeClr w14:val="tx1"/>
            </w14:solidFill>
          </w14:textFill>
        </w:rPr>
        <w:t>）技术标准和要求；</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10</w:t>
      </w:r>
      <w:r>
        <w:rPr>
          <w:rFonts w:hint="eastAsia" w:eastAsia="仿宋_GB2312"/>
          <w:color w:val="000000" w:themeColor="text1"/>
          <w:sz w:val="30"/>
          <w:szCs w:val="30"/>
          <w14:textFill>
            <w14:solidFill>
              <w14:schemeClr w14:val="tx1"/>
            </w14:solidFill>
          </w14:textFill>
        </w:rPr>
        <w:t>）已标价工程量清单或预算书；</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11</w:t>
      </w:r>
      <w:r>
        <w:rPr>
          <w:rFonts w:hint="eastAsia" w:eastAsia="仿宋_GB2312"/>
          <w:color w:val="000000" w:themeColor="text1"/>
          <w:sz w:val="30"/>
          <w:szCs w:val="30"/>
          <w14:textFill>
            <w14:solidFill>
              <w14:schemeClr w14:val="tx1"/>
            </w14:solidFill>
          </w14:textFill>
        </w:rPr>
        <w:t>）其他合同文件。</w:t>
      </w:r>
    </w:p>
    <w:p>
      <w:pPr>
        <w:autoSpaceDE w:val="0"/>
        <w:autoSpaceDN w:val="0"/>
        <w:adjustRightInd w:val="0"/>
        <w:spacing w:line="360" w:lineRule="auto"/>
        <w:ind w:firstLine="600" w:firstLineChars="200"/>
        <w:jc w:val="left"/>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在合同订立及履行过程中形成的与合同有关的文件均构成合同文件组成部分，与本合同具有同等法律效力。</w:t>
      </w:r>
    </w:p>
    <w:p>
      <w:pPr>
        <w:pStyle w:val="8"/>
      </w:pPr>
      <w:r>
        <w:t xml:space="preserve">    </w:t>
      </w:r>
      <w:r>
        <w:rPr>
          <w:rFonts w:hint="eastAsia"/>
        </w:rPr>
        <w:t>七、承诺</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1.</w:t>
      </w:r>
      <w:r>
        <w:rPr>
          <w:rFonts w:hint="eastAsia" w:eastAsia="仿宋_GB2312"/>
          <w:bCs/>
          <w:color w:val="000000" w:themeColor="text1"/>
          <w:sz w:val="30"/>
          <w:szCs w:val="30"/>
          <w14:textFill>
            <w14:solidFill>
              <w14:schemeClr w14:val="tx1"/>
            </w14:solidFill>
          </w14:textFill>
        </w:rPr>
        <w:t>发包人承诺按照法律规定履行项目审批手续、筹集工程建设资金并按照合同约定的期限和方式支付合同价款。</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2.</w:t>
      </w:r>
      <w:r>
        <w:rPr>
          <w:rFonts w:hint="eastAsia" w:eastAsia="仿宋_GB2312"/>
          <w:bCs/>
          <w:color w:val="000000" w:themeColor="text1"/>
          <w:sz w:val="30"/>
          <w:szCs w:val="30"/>
          <w14:textFill>
            <w14:solidFill>
              <w14:schemeClr w14:val="tx1"/>
            </w14:solidFill>
          </w14:textFill>
        </w:rPr>
        <w:t>承包人承诺按照法律规定及合同约定组织完成工程施工，确保工程质量和安全，不进行转包及违法分包，并在缺陷责任期及保修期内承担相应的工程维修责任。</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eastAsia="仿宋_GB2312"/>
          <w:bCs/>
          <w:color w:val="000000" w:themeColor="text1"/>
          <w:sz w:val="30"/>
          <w:szCs w:val="30"/>
          <w14:textFill>
            <w14:solidFill>
              <w14:schemeClr w14:val="tx1"/>
            </w14:solidFill>
          </w14:textFill>
        </w:rPr>
        <w:t>3.</w:t>
      </w:r>
      <w:r>
        <w:rPr>
          <w:rFonts w:hint="eastAsia" w:eastAsia="仿宋_GB2312"/>
          <w:bCs/>
          <w:color w:val="000000" w:themeColor="text1"/>
          <w:sz w:val="30"/>
          <w:szCs w:val="30"/>
          <w14:textFill>
            <w14:solidFill>
              <w14:schemeClr w14:val="tx1"/>
            </w14:solidFill>
          </w14:textFill>
        </w:rPr>
        <w:t>发包人和承包人通过招投标形式签订合同的，双方理解并承诺不再就同一工程另行签订与合同实质性内容相背离的协议。</w:t>
      </w:r>
    </w:p>
    <w:p>
      <w:pPr>
        <w:pStyle w:val="8"/>
      </w:pPr>
      <w:r>
        <w:t xml:space="preserve">    </w:t>
      </w:r>
      <w:r>
        <w:rPr>
          <w:rFonts w:hint="eastAsia"/>
        </w:rPr>
        <w:t>八、词语含义</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本协议书中词语含义与第二部分通用合同条款中赋予的含义相同。</w:t>
      </w:r>
    </w:p>
    <w:p>
      <w:pPr>
        <w:pStyle w:val="8"/>
      </w:pPr>
      <w:r>
        <w:t xml:space="preserve">    </w:t>
      </w:r>
      <w:r>
        <w:rPr>
          <w:rFonts w:hint="eastAsia"/>
        </w:rPr>
        <w:t>九、签订地点</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本合同在</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u w:val="single"/>
          <w14:textFill>
            <w14:solidFill>
              <w14:schemeClr w14:val="tx1"/>
            </w14:solidFill>
          </w14:textFill>
        </w:rPr>
        <w:t>山东省济南市</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签订。</w:t>
      </w:r>
    </w:p>
    <w:p>
      <w:pPr>
        <w:pStyle w:val="8"/>
      </w:pPr>
      <w:r>
        <w:t xml:space="preserve">    </w:t>
      </w:r>
      <w:r>
        <w:rPr>
          <w:rFonts w:hint="eastAsia"/>
        </w:rPr>
        <w:t>十、其他</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本合同为双方签署的最终版本，如有任何与本合同相冲突的版本，均以本合同为准。</w:t>
      </w:r>
    </w:p>
    <w:p>
      <w:pPr>
        <w:pStyle w:val="8"/>
      </w:pPr>
      <w:r>
        <w:t xml:space="preserve">    </w:t>
      </w:r>
      <w:r>
        <w:rPr>
          <w:rFonts w:hint="eastAsia"/>
        </w:rPr>
        <w:t>十一、合同生效</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本合同自</w:t>
      </w:r>
      <w:r>
        <w:rPr>
          <w:rFonts w:eastAsia="仿宋_GB2312"/>
          <w:bCs/>
          <w:color w:val="000000" w:themeColor="text1"/>
          <w:sz w:val="30"/>
          <w:szCs w:val="30"/>
          <w:u w:val="single"/>
          <w14:textFill>
            <w14:solidFill>
              <w14:schemeClr w14:val="tx1"/>
            </w14:solidFill>
          </w14:textFill>
        </w:rPr>
        <w:t xml:space="preserve"> 双方授权代表签署并加盖公章</w:t>
      </w:r>
      <w:r>
        <w:rPr>
          <w:rFonts w:hint="eastAsia" w:eastAsia="仿宋_GB2312"/>
          <w:bCs/>
          <w:color w:val="000000" w:themeColor="text1"/>
          <w:sz w:val="30"/>
          <w:szCs w:val="30"/>
          <w:u w:val="single"/>
          <w14:textFill>
            <w14:solidFill>
              <w14:schemeClr w14:val="tx1"/>
            </w14:solidFill>
          </w14:textFill>
        </w:rPr>
        <w:t>或者合同专用章之日起</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生效。</w:t>
      </w:r>
    </w:p>
    <w:p>
      <w:pPr>
        <w:pStyle w:val="8"/>
      </w:pPr>
      <w:r>
        <w:t xml:space="preserve">    </w:t>
      </w:r>
      <w:r>
        <w:rPr>
          <w:rFonts w:hint="eastAsia"/>
        </w:rPr>
        <w:t>十二、合同份数</w:t>
      </w: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本合同一式</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i/>
          <w:iCs/>
          <w:color w:val="000000" w:themeColor="text1"/>
          <w:sz w:val="30"/>
          <w:szCs w:val="30"/>
          <w:u w:val="single"/>
          <w14:textFill>
            <w14:solidFill>
              <w14:schemeClr w14:val="tx1"/>
            </w14:solidFill>
          </w14:textFill>
        </w:rPr>
        <w:t>陆</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份，均具有同等法律效力，发包人执</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i/>
          <w:iCs/>
          <w:color w:val="000000" w:themeColor="text1"/>
          <w:sz w:val="30"/>
          <w:szCs w:val="30"/>
          <w:u w:val="single"/>
          <w14:textFill>
            <w14:solidFill>
              <w14:schemeClr w14:val="tx1"/>
            </w14:solidFill>
          </w14:textFill>
        </w:rPr>
        <w:t>肆</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份，承包人执</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i/>
          <w:iCs/>
          <w:color w:val="000000" w:themeColor="text1"/>
          <w:sz w:val="30"/>
          <w:szCs w:val="30"/>
          <w:u w:val="single"/>
          <w14:textFill>
            <w14:solidFill>
              <w14:schemeClr w14:val="tx1"/>
            </w14:solidFill>
          </w14:textFill>
        </w:rPr>
        <w:t>贰</w:t>
      </w:r>
      <w:r>
        <w:rPr>
          <w:rFonts w:eastAsia="仿宋_GB2312"/>
          <w:bCs/>
          <w:color w:val="000000" w:themeColor="text1"/>
          <w:sz w:val="30"/>
          <w:szCs w:val="30"/>
          <w:u w:val="single"/>
          <w14:textFill>
            <w14:solidFill>
              <w14:schemeClr w14:val="tx1"/>
            </w14:solidFill>
          </w14:textFill>
        </w:rPr>
        <w:t xml:space="preserve"> </w:t>
      </w:r>
      <w:r>
        <w:rPr>
          <w:rFonts w:hint="eastAsia" w:eastAsia="仿宋_GB2312"/>
          <w:bCs/>
          <w:color w:val="000000" w:themeColor="text1"/>
          <w:sz w:val="30"/>
          <w:szCs w:val="30"/>
          <w14:textFill>
            <w14:solidFill>
              <w14:schemeClr w14:val="tx1"/>
            </w14:solidFill>
          </w14:textFill>
        </w:rPr>
        <w:t>份。</w:t>
      </w:r>
    </w:p>
    <w:p>
      <w:pPr>
        <w:spacing w:line="360" w:lineRule="auto"/>
        <w:ind w:firstLine="602" w:firstLineChars="200"/>
        <w:rPr>
          <w:rFonts w:eastAsia="仿宋_GB2312"/>
          <w:b/>
          <w:bCs/>
          <w:color w:val="000000" w:themeColor="text1"/>
          <w:sz w:val="30"/>
          <w:szCs w:val="30"/>
          <w14:textFill>
            <w14:solidFill>
              <w14:schemeClr w14:val="tx1"/>
            </w14:solidFill>
          </w14:textFill>
        </w:rPr>
      </w:pPr>
      <w:r>
        <w:rPr>
          <w:rFonts w:hint="eastAsia" w:eastAsia="仿宋_GB2312"/>
          <w:b/>
          <w:bCs/>
          <w:color w:val="000000" w:themeColor="text1"/>
          <w:sz w:val="30"/>
          <w:szCs w:val="30"/>
          <w14:textFill>
            <w14:solidFill>
              <w14:schemeClr w14:val="tx1"/>
            </w14:solidFill>
          </w14:textFill>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spacing w:line="360" w:lineRule="auto"/>
        <w:ind w:firstLine="602" w:firstLineChars="200"/>
        <w:rPr>
          <w:rFonts w:eastAsia="仿宋_GB2312"/>
          <w:b/>
          <w:bCs/>
          <w:color w:val="000000" w:themeColor="text1"/>
          <w:sz w:val="30"/>
          <w:szCs w:val="30"/>
          <w14:textFill>
            <w14:solidFill>
              <w14:schemeClr w14:val="tx1"/>
            </w14:solidFill>
          </w14:textFill>
        </w:rPr>
      </w:pPr>
      <w:r>
        <w:rPr>
          <w:rFonts w:hint="eastAsia" w:eastAsia="仿宋_GB2312"/>
          <w:b/>
          <w:bCs/>
          <w:color w:val="000000" w:themeColor="text1"/>
          <w:sz w:val="30"/>
          <w:szCs w:val="30"/>
          <w14:textFill>
            <w14:solidFill>
              <w14:schemeClr w14:val="tx1"/>
            </w14:solidFill>
          </w14:textFill>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spacing w:line="360" w:lineRule="auto"/>
        <w:rPr>
          <w:rFonts w:eastAsia="仿宋_GB2312"/>
          <w:color w:val="000000" w:themeColor="text1"/>
          <w:sz w:val="30"/>
          <w:szCs w:val="30"/>
          <w14:textFill>
            <w14:solidFill>
              <w14:schemeClr w14:val="tx1"/>
            </w14:solidFill>
          </w14:textFill>
        </w:rPr>
      </w:pP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发包人：</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盖章</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承包人：</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盖章</w:t>
      </w:r>
      <w:r>
        <w:rPr>
          <w:rFonts w:eastAsia="仿宋_GB2312"/>
          <w:color w:val="000000" w:themeColor="text1"/>
          <w:sz w:val="30"/>
          <w:szCs w:val="30"/>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法定代表人或其委托代理人：</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法定代表人或其委托代理人：</w:t>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（签字）</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（签字）</w:t>
      </w:r>
    </w:p>
    <w:p>
      <w:pPr>
        <w:tabs>
          <w:tab w:val="left" w:pos="4410"/>
        </w:tabs>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统一社会信用代码：</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统一社会信用代码：</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地</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址：</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地</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址：</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邮政编码：</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邮政编码：</w:t>
      </w:r>
      <w:r>
        <w:rPr>
          <w:rFonts w:hint="eastAsia"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法定代表人：</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法定代表人：</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委托代理人：</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委托代理人：</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电</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话：</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电</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话：</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传</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传</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电子信箱：</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电子信箱：</w:t>
      </w:r>
      <w:r>
        <w:rPr>
          <w:rFonts w:hint="eastAsia"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开户银行：</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开户银行：</w:t>
      </w:r>
      <w:r>
        <w:rPr>
          <w:rFonts w:hint="eastAsia" w:eastAsia="仿宋_GB2312"/>
          <w:color w:val="000000" w:themeColor="text1"/>
          <w:sz w:val="30"/>
          <w:szCs w:val="30"/>
          <w:u w:val="single"/>
          <w14:textFill>
            <w14:solidFill>
              <w14:schemeClr w14:val="tx1"/>
            </w14:solidFill>
          </w14:textFill>
        </w:rPr>
        <w:t xml:space="preserve">           </w:t>
      </w:r>
    </w:p>
    <w:p>
      <w:pPr>
        <w:spacing w:line="360" w:lineRule="auto"/>
        <w:rPr>
          <w:color w:val="000000" w:themeColor="text1"/>
          <w:sz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账</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号：</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账</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号：</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 xml:space="preserve">日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 xml:space="preserve">日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color w:val="000000" w:themeColor="text1"/>
          <w:sz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账</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号：</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账</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号：</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 xml:space="preserve">日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 xml:space="preserve">日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期：</w:t>
      </w:r>
      <w:r>
        <w:rPr>
          <w:rFonts w:hint="eastAsia"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p>
    <w:p>
      <w:pPr>
        <w:spacing w:line="360" w:lineRule="auto"/>
        <w:jc w:val="center"/>
        <w:rPr>
          <w:rFonts w:ascii="华文中宋" w:hAnsi="华文中宋" w:eastAsia="华文中宋"/>
          <w:b/>
          <w:bCs/>
          <w:color w:val="000000" w:themeColor="text1"/>
          <w:sz w:val="44"/>
          <w:szCs w:val="44"/>
          <w:lang w:bidi="en-US"/>
          <w14:textFill>
            <w14:solidFill>
              <w14:schemeClr w14:val="tx1"/>
            </w14:solidFill>
          </w14:textFill>
        </w:rPr>
      </w:pPr>
      <w:r>
        <w:rPr>
          <w:rFonts w:ascii="华文中宋" w:hAnsi="华文中宋" w:eastAsia="华文中宋"/>
          <w:b/>
          <w:bCs/>
          <w:color w:val="000000" w:themeColor="text1"/>
          <w:sz w:val="44"/>
          <w:szCs w:val="44"/>
          <w:lang w:bidi="en-US"/>
          <w14:textFill>
            <w14:solidFill>
              <w14:schemeClr w14:val="tx1"/>
            </w14:solidFill>
          </w14:textFill>
        </w:rPr>
        <w:br w:type="page"/>
      </w:r>
    </w:p>
    <w:p>
      <w:pPr>
        <w:pStyle w:val="7"/>
        <w:spacing w:before="156" w:after="156"/>
        <w:jc w:val="center"/>
        <w:rPr>
          <w:rFonts w:ascii="华文中宋" w:hAnsi="华文中宋"/>
          <w:color w:val="000000" w:themeColor="text1"/>
          <w:sz w:val="44"/>
          <w14:textFill>
            <w14:solidFill>
              <w14:schemeClr w14:val="tx1"/>
            </w14:solidFill>
          </w14:textFill>
        </w:rPr>
      </w:pPr>
      <w:bookmarkStart w:id="103" w:name="_Toc211261917"/>
      <w:r>
        <w:rPr>
          <w:rFonts w:ascii="华文中宋" w:hAnsi="华文中宋"/>
          <w:color w:val="000000" w:themeColor="text1"/>
          <w:sz w:val="44"/>
          <w14:textFill>
            <w14:solidFill>
              <w14:schemeClr w14:val="tx1"/>
            </w14:solidFill>
          </w14:textFill>
        </w:rPr>
        <w:t>第二部分 通用合同条款</w:t>
      </w:r>
      <w:bookmarkEnd w:id="103"/>
    </w:p>
    <w:p>
      <w:pPr>
        <w:spacing w:line="480" w:lineRule="auto"/>
        <w:rPr>
          <w:rStyle w:val="58"/>
          <w:rFonts w:ascii="宋体" w:hAnsi="宋体"/>
          <w:color w:val="000000" w:themeColor="text1"/>
          <w:szCs w:val="21"/>
          <w14:textFill>
            <w14:solidFill>
              <w14:schemeClr w14:val="tx1"/>
            </w14:solidFill>
          </w14:textFill>
        </w:rPr>
      </w:pPr>
    </w:p>
    <w:p>
      <w:pPr>
        <w:spacing w:line="360" w:lineRule="auto"/>
        <w:ind w:firstLine="600" w:firstLineChars="200"/>
        <w:rPr>
          <w:rFonts w:eastAsia="仿宋_GB2312"/>
          <w:bCs/>
          <w:color w:val="000000" w:themeColor="text1"/>
          <w:sz w:val="30"/>
          <w:szCs w:val="30"/>
          <w14:textFill>
            <w14:solidFill>
              <w14:schemeClr w14:val="tx1"/>
            </w14:solidFill>
          </w14:textFill>
        </w:rPr>
      </w:pPr>
      <w:r>
        <w:rPr>
          <w:rFonts w:hint="eastAsia" w:eastAsia="仿宋_GB2312"/>
          <w:bCs/>
          <w:color w:val="000000" w:themeColor="text1"/>
          <w:sz w:val="30"/>
          <w:szCs w:val="30"/>
          <w14:textFill>
            <w14:solidFill>
              <w14:schemeClr w14:val="tx1"/>
            </w14:solidFill>
          </w14:textFill>
        </w:rPr>
        <w:t>详见《建筑工程施工合同》示范文本（</w:t>
      </w:r>
      <w:r>
        <w:rPr>
          <w:rFonts w:eastAsia="仿宋_GB2312"/>
          <w:bCs/>
          <w:color w:val="000000" w:themeColor="text1"/>
          <w:sz w:val="30"/>
          <w:szCs w:val="30"/>
          <w14:textFill>
            <w14:solidFill>
              <w14:schemeClr w14:val="tx1"/>
            </w14:solidFill>
          </w14:textFill>
        </w:rPr>
        <w:t>GF-2013-0201</w:t>
      </w:r>
      <w:r>
        <w:rPr>
          <w:rFonts w:hint="eastAsia" w:eastAsia="仿宋_GB2312"/>
          <w:bCs/>
          <w:color w:val="000000" w:themeColor="text1"/>
          <w:sz w:val="30"/>
          <w:szCs w:val="30"/>
          <w14:textFill>
            <w14:solidFill>
              <w14:schemeClr w14:val="tx1"/>
            </w14:solidFill>
          </w14:textFill>
        </w:rPr>
        <w:t>）中第二部分《通用合同条款》。</w:t>
      </w:r>
    </w:p>
    <w:p>
      <w:pPr>
        <w:pStyle w:val="7"/>
        <w:spacing w:before="156" w:after="156"/>
        <w:jc w:val="center"/>
        <w:rPr>
          <w:rFonts w:ascii="华文中宋" w:hAnsi="华文中宋" w:eastAsia="华文中宋"/>
          <w:color w:val="000000" w:themeColor="text1"/>
          <w:sz w:val="44"/>
          <w:szCs w:val="44"/>
          <w14:textFill>
            <w14:solidFill>
              <w14:schemeClr w14:val="tx1"/>
            </w14:solidFill>
          </w14:textFill>
        </w:rPr>
      </w:pPr>
      <w:r>
        <w:rPr>
          <w:rFonts w:eastAsia="仿宋_GB2312"/>
          <w:b w:val="0"/>
          <w:bCs w:val="0"/>
          <w:color w:val="000000" w:themeColor="text1"/>
          <w14:textFill>
            <w14:solidFill>
              <w14:schemeClr w14:val="tx1"/>
            </w14:solidFill>
          </w14:textFill>
        </w:rPr>
        <w:br w:type="page"/>
      </w:r>
      <w:bookmarkStart w:id="104" w:name="_Toc211261918"/>
      <w:r>
        <w:rPr>
          <w:rFonts w:ascii="华文中宋" w:hAnsi="华文中宋" w:eastAsia="华文中宋"/>
          <w:color w:val="000000" w:themeColor="text1"/>
          <w:sz w:val="44"/>
          <w:szCs w:val="44"/>
          <w14:textFill>
            <w14:solidFill>
              <w14:schemeClr w14:val="tx1"/>
            </w14:solidFill>
          </w14:textFill>
        </w:rPr>
        <w:t xml:space="preserve">第三部分 </w:t>
      </w:r>
      <w:r>
        <w:rPr>
          <w:rFonts w:hint="eastAsia" w:ascii="华文中宋" w:hAnsi="华文中宋" w:eastAsia="华文中宋"/>
          <w:color w:val="000000" w:themeColor="text1"/>
          <w:sz w:val="44"/>
          <w:szCs w:val="44"/>
          <w14:textFill>
            <w14:solidFill>
              <w14:schemeClr w14:val="tx1"/>
            </w14:solidFill>
          </w14:textFill>
        </w:rPr>
        <w:t>专用合同条款</w:t>
      </w:r>
      <w:bookmarkEnd w:id="104"/>
    </w:p>
    <w:p>
      <w:pPr>
        <w:pStyle w:val="8"/>
      </w:pPr>
      <w:r>
        <w:t xml:space="preserve">1. </w:t>
      </w:r>
      <w:r>
        <w:rPr>
          <w:rFonts w:hint="eastAsia"/>
        </w:rPr>
        <w:t>一般约定</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1.1 </w:t>
      </w:r>
      <w:r>
        <w:rPr>
          <w:rFonts w:hint="eastAsia" w:eastAsia="黑体"/>
          <w:color w:val="000000" w:themeColor="text1"/>
          <w:sz w:val="30"/>
          <w:szCs w:val="32"/>
          <w14:textFill>
            <w14:solidFill>
              <w14:schemeClr w14:val="tx1"/>
            </w14:solidFill>
          </w14:textFill>
        </w:rPr>
        <w:t>词语定义</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1.1.1</w:t>
      </w:r>
      <w:r>
        <w:rPr>
          <w:rFonts w:hint="eastAsia" w:eastAsia="仿宋_GB2312"/>
          <w:color w:val="000000" w:themeColor="text1"/>
          <w:kern w:val="0"/>
          <w:sz w:val="30"/>
          <w:szCs w:val="32"/>
          <w14:textFill>
            <w14:solidFill>
              <w14:schemeClr w14:val="tx1"/>
            </w14:solidFill>
          </w14:textFill>
        </w:rPr>
        <w:t>合同</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eastAsia="仿宋_GB2312"/>
          <w:color w:val="000000" w:themeColor="text1"/>
          <w:kern w:val="0"/>
          <w:sz w:val="30"/>
          <w:szCs w:val="32"/>
          <w14:textFill>
            <w14:solidFill>
              <w14:schemeClr w14:val="tx1"/>
            </w14:solidFill>
          </w14:textFill>
        </w:rPr>
        <w:t>1.1.1.10</w:t>
      </w:r>
      <w:r>
        <w:rPr>
          <w:rFonts w:hint="eastAsia" w:eastAsia="仿宋_GB2312"/>
          <w:color w:val="000000" w:themeColor="text1"/>
          <w:kern w:val="0"/>
          <w:sz w:val="30"/>
          <w:szCs w:val="32"/>
          <w14:textFill>
            <w14:solidFill>
              <w14:schemeClr w14:val="tx1"/>
            </w14:solidFill>
          </w14:textFill>
        </w:rPr>
        <w:t>其他合同文件包括：</w:t>
      </w:r>
      <w:r>
        <w:rPr>
          <w:rFonts w:hint="eastAsia" w:eastAsia="仿宋_GB2312"/>
          <w:color w:val="000000" w:themeColor="text1"/>
          <w:sz w:val="30"/>
          <w:szCs w:val="32"/>
          <w:u w:val="single"/>
          <w14:textFill>
            <w14:solidFill>
              <w14:schemeClr w14:val="tx1"/>
            </w14:solidFill>
          </w14:textFill>
        </w:rPr>
        <w:t>履行合同过程中形成的对合同内容有实质性影响的会议纪要、联系单、承诺等资料。</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1.1.2 </w:t>
      </w:r>
      <w:r>
        <w:rPr>
          <w:rFonts w:hint="eastAsia" w:eastAsia="仿宋_GB2312"/>
          <w:color w:val="000000" w:themeColor="text1"/>
          <w:sz w:val="30"/>
          <w:szCs w:val="32"/>
          <w14:textFill>
            <w14:solidFill>
              <w14:schemeClr w14:val="tx1"/>
            </w14:solidFill>
          </w14:textFill>
        </w:rPr>
        <w:t>合同当事人及其他相关方</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1.1.2.4</w:t>
      </w:r>
      <w:r>
        <w:rPr>
          <w:rFonts w:hint="eastAsia" w:eastAsia="仿宋_GB2312"/>
          <w:color w:val="000000" w:themeColor="text1"/>
          <w:sz w:val="30"/>
          <w:szCs w:val="32"/>
          <w14:textFill>
            <w14:solidFill>
              <w14:schemeClr w14:val="tx1"/>
            </w14:solidFill>
          </w14:textFill>
        </w:rPr>
        <w:t>监理人：</w:t>
      </w:r>
      <w:r>
        <w:rPr>
          <w:rFonts w:hint="eastAsia"/>
          <w:i/>
          <w:color w:val="000000" w:themeColor="text1"/>
          <w:sz w:val="30"/>
          <w14:textFill>
            <w14:solidFill>
              <w14:schemeClr w14:val="tx1"/>
            </w14:solidFill>
          </w14:textFill>
        </w:rPr>
        <w:t>（根据监理合同据实填写）</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名</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称：</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资质类别和等级：</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联系电话：</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电子信箱：</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通信地址：</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1.1.2.5 </w:t>
      </w:r>
      <w:r>
        <w:rPr>
          <w:rFonts w:hint="eastAsia" w:eastAsia="仿宋_GB2312"/>
          <w:color w:val="000000" w:themeColor="text1"/>
          <w:sz w:val="30"/>
          <w:szCs w:val="32"/>
          <w14:textFill>
            <w14:solidFill>
              <w14:schemeClr w14:val="tx1"/>
            </w14:solidFill>
          </w14:textFill>
        </w:rPr>
        <w:t>设计人：</w:t>
      </w:r>
      <w:r>
        <w:rPr>
          <w:rFonts w:hint="eastAsia"/>
          <w:i/>
          <w:color w:val="000000" w:themeColor="text1"/>
          <w:sz w:val="30"/>
          <w14:textFill>
            <w14:solidFill>
              <w14:schemeClr w14:val="tx1"/>
            </w14:solidFill>
          </w14:textFill>
        </w:rPr>
        <w:t>（根据设计合同据实填写）</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名</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称：</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资质类别和等级：</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联系电话：</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电子信箱：</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通信地址：</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1.1.3 </w:t>
      </w:r>
      <w:r>
        <w:rPr>
          <w:rFonts w:hint="eastAsia" w:eastAsia="仿宋_GB2312"/>
          <w:color w:val="000000" w:themeColor="text1"/>
          <w:sz w:val="30"/>
          <w:szCs w:val="32"/>
          <w14:textFill>
            <w14:solidFill>
              <w14:schemeClr w14:val="tx1"/>
            </w14:solidFill>
          </w14:textFill>
        </w:rPr>
        <w:t>工程和设备</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1.1.3.7 </w:t>
      </w:r>
      <w:r>
        <w:rPr>
          <w:rFonts w:hint="eastAsia" w:eastAsia="仿宋_GB2312"/>
          <w:color w:val="000000" w:themeColor="text1"/>
          <w:sz w:val="30"/>
          <w:szCs w:val="32"/>
          <w14:textFill>
            <w14:solidFill>
              <w14:schemeClr w14:val="tx1"/>
            </w14:solidFill>
          </w14:textFill>
        </w:rPr>
        <w:t>作为施工现场组成部分的其他场所包括：</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1.1.3.9 </w:t>
      </w:r>
      <w:r>
        <w:rPr>
          <w:rFonts w:hint="eastAsia" w:eastAsia="仿宋_GB2312"/>
          <w:color w:val="000000" w:themeColor="text1"/>
          <w:kern w:val="0"/>
          <w:sz w:val="30"/>
          <w:szCs w:val="32"/>
          <w14:textFill>
            <w14:solidFill>
              <w14:schemeClr w14:val="tx1"/>
            </w14:solidFill>
          </w14:textFill>
        </w:rPr>
        <w:t>永久占地包括：</w:t>
      </w:r>
      <w:r>
        <w:rPr>
          <w:rFonts w:hint="eastAsia"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1.1.3.10 </w:t>
      </w:r>
      <w:r>
        <w:rPr>
          <w:rFonts w:hint="eastAsia" w:eastAsia="仿宋_GB2312"/>
          <w:color w:val="000000" w:themeColor="text1"/>
          <w:kern w:val="0"/>
          <w:sz w:val="30"/>
          <w:szCs w:val="32"/>
          <w14:textFill>
            <w14:solidFill>
              <w14:schemeClr w14:val="tx1"/>
            </w14:solidFill>
          </w14:textFill>
        </w:rPr>
        <w:t>临时占地包括：</w:t>
      </w:r>
      <w:r>
        <w:rPr>
          <w:rFonts w:hint="eastAsia" w:eastAsia="仿宋_GB2312"/>
          <w:color w:val="000000" w:themeColor="text1"/>
          <w:sz w:val="30"/>
          <w:szCs w:val="32"/>
          <w:u w:val="single"/>
          <w14:textFill>
            <w14:solidFill>
              <w14:schemeClr w14:val="tx1"/>
            </w14:solidFill>
          </w14:textFill>
        </w:rPr>
        <w:t>发包人现场指定的现场办公场地、职工生活区、材料加工场地、临时堆放场地及其他临时场地</w:t>
      </w:r>
      <w:r>
        <w:rPr>
          <w:rFonts w:hint="eastAsia" w:eastAsia="仿宋_GB2312"/>
          <w:color w:val="000000" w:themeColor="text1"/>
          <w:kern w:val="0"/>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1.3</w:t>
      </w:r>
      <w:r>
        <w:rPr>
          <w:rFonts w:hint="eastAsia" w:eastAsia="黑体"/>
          <w:color w:val="000000" w:themeColor="text1"/>
          <w:sz w:val="30"/>
          <w:szCs w:val="32"/>
          <w14:textFill>
            <w14:solidFill>
              <w14:schemeClr w14:val="tx1"/>
            </w14:solidFill>
          </w14:textFill>
        </w:rPr>
        <w:t>法律</w:t>
      </w:r>
      <w:r>
        <w:rPr>
          <w:rFonts w:eastAsia="黑体"/>
          <w:color w:val="000000" w:themeColor="text1"/>
          <w:sz w:val="30"/>
          <w:szCs w:val="32"/>
          <w14:textFill>
            <w14:solidFill>
              <w14:schemeClr w14:val="tx1"/>
            </w14:solidFill>
          </w14:textFill>
        </w:rPr>
        <w:t xml:space="preserve"> </w:t>
      </w:r>
    </w:p>
    <w:p>
      <w:pPr>
        <w:spacing w:after="156"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适用于合同的其他规范性文件：</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1.4 </w:t>
      </w:r>
      <w:r>
        <w:rPr>
          <w:rFonts w:hint="eastAsia" w:eastAsia="黑体"/>
          <w:color w:val="000000" w:themeColor="text1"/>
          <w:sz w:val="30"/>
          <w:szCs w:val="32"/>
          <w14:textFill>
            <w14:solidFill>
              <w14:schemeClr w14:val="tx1"/>
            </w14:solidFill>
          </w14:textFill>
        </w:rPr>
        <w:t>标准和规范</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1.4.1</w:t>
      </w:r>
      <w:r>
        <w:rPr>
          <w:rFonts w:hint="eastAsia" w:eastAsia="仿宋_GB2312"/>
          <w:color w:val="000000" w:themeColor="text1"/>
          <w:sz w:val="30"/>
          <w:szCs w:val="32"/>
          <w14:textFill>
            <w14:solidFill>
              <w14:schemeClr w14:val="tx1"/>
            </w14:solidFill>
          </w14:textFill>
        </w:rPr>
        <w:t>适用于工程的标准规范包括：</w:t>
      </w:r>
      <w:r>
        <w:rPr>
          <w:rFonts w:hint="eastAsia" w:eastAsia="仿宋_GB2312"/>
          <w:color w:val="000000" w:themeColor="text1"/>
          <w:sz w:val="30"/>
          <w:szCs w:val="32"/>
          <w:u w:val="single"/>
          <w14:textFill>
            <w14:solidFill>
              <w14:schemeClr w14:val="tx1"/>
            </w14:solidFill>
          </w14:textFill>
        </w:rPr>
        <w:t>同《通用合同条款》</w:t>
      </w:r>
      <w:r>
        <w:rPr>
          <w:rFonts w:eastAsia="仿宋_GB2312"/>
          <w:color w:val="000000" w:themeColor="text1"/>
          <w:sz w:val="30"/>
          <w:szCs w:val="32"/>
          <w:u w:val="single"/>
          <w14:textFill>
            <w14:solidFill>
              <w14:schemeClr w14:val="tx1"/>
            </w14:solidFill>
          </w14:textFill>
        </w:rPr>
        <w:t>1.4.1</w:t>
      </w:r>
      <w:r>
        <w:rPr>
          <w:rFonts w:hint="eastAsia" w:eastAsia="仿宋_GB2312"/>
          <w:i/>
          <w:iCs/>
          <w:color w:val="000000" w:themeColor="text1"/>
          <w:sz w:val="30"/>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前述标准规范发生变化的，承包人应按照最新的标准规范施工，确保工程通过各项验收。各标准规范要求不一致时，应以要求较高者为准</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1.4.2 </w:t>
      </w:r>
      <w:r>
        <w:rPr>
          <w:rFonts w:hint="eastAsia" w:eastAsia="仿宋_GB2312"/>
          <w:color w:val="000000" w:themeColor="text1"/>
          <w:kern w:val="0"/>
          <w:sz w:val="30"/>
          <w:szCs w:val="32"/>
          <w14:textFill>
            <w14:solidFill>
              <w14:schemeClr w14:val="tx1"/>
            </w14:solidFill>
          </w14:textFill>
        </w:rPr>
        <w:t>发包人提供国外标准、规范的名称：</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无</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发包人提供国外标准、规范的份数：</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 xml:space="preserve">无 </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发包人提供国外标准、规范的名称：</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 xml:space="preserve">无 </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left="596" w:leftChars="284"/>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1.4.3</w:t>
      </w:r>
      <w:r>
        <w:rPr>
          <w:rFonts w:hint="eastAsia" w:eastAsia="仿宋_GB2312"/>
          <w:color w:val="000000" w:themeColor="text1"/>
          <w:sz w:val="30"/>
          <w:szCs w:val="32"/>
          <w14:textFill>
            <w14:solidFill>
              <w14:schemeClr w14:val="tx1"/>
            </w14:solidFill>
          </w14:textFill>
        </w:rPr>
        <w:t>发包人对工程的技术标准和功能要求的特殊要求：</w:t>
      </w:r>
      <w:r>
        <w:rPr>
          <w:rFonts w:hint="eastAsia" w:eastAsia="仿宋_GB2312"/>
          <w:color w:val="000000" w:themeColor="text1"/>
          <w:sz w:val="30"/>
          <w:szCs w:val="32"/>
          <w:u w:val="single"/>
          <w14:textFill>
            <w14:solidFill>
              <w14:schemeClr w14:val="tx1"/>
            </w14:solidFill>
          </w14:textFill>
        </w:rPr>
        <w:t>无。</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1.5 </w:t>
      </w:r>
      <w:r>
        <w:rPr>
          <w:rFonts w:hint="eastAsia" w:eastAsia="黑体"/>
          <w:color w:val="000000" w:themeColor="text1"/>
          <w:sz w:val="30"/>
          <w:szCs w:val="32"/>
          <w14:textFill>
            <w14:solidFill>
              <w14:schemeClr w14:val="tx1"/>
            </w14:solidFill>
          </w14:textFill>
        </w:rPr>
        <w:t>合同文件的优先顺序</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合同文件组成及优先顺序为：</w:t>
      </w:r>
      <w:r>
        <w:rPr>
          <w:rFonts w:hint="eastAsia" w:eastAsia="仿宋_GB2312"/>
          <w:color w:val="000000" w:themeColor="text1"/>
          <w:sz w:val="30"/>
          <w:szCs w:val="32"/>
          <w:u w:val="single"/>
          <w14:textFill>
            <w14:solidFill>
              <w14:schemeClr w14:val="tx1"/>
            </w14:solidFill>
          </w14:textFill>
        </w:rPr>
        <w:t>执行协议书第六条合同文件顺序</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1.6 </w:t>
      </w:r>
      <w:r>
        <w:rPr>
          <w:rFonts w:hint="eastAsia" w:eastAsia="黑体"/>
          <w:color w:val="000000" w:themeColor="text1"/>
          <w:sz w:val="30"/>
          <w:szCs w:val="32"/>
          <w14:textFill>
            <w14:solidFill>
              <w14:schemeClr w14:val="tx1"/>
            </w14:solidFill>
          </w14:textFill>
        </w:rPr>
        <w:t>图纸和承包人文件</w:t>
      </w:r>
      <w:r>
        <w:rPr>
          <w:rFonts w:eastAsia="黑体"/>
          <w:color w:val="000000" w:themeColor="text1"/>
          <w:sz w:val="30"/>
          <w:szCs w:val="32"/>
          <w14:textFill>
            <w14:solidFill>
              <w14:schemeClr w14:val="tx1"/>
            </w14:solidFill>
          </w14:textFill>
        </w:rPr>
        <w:tab/>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1.6.1 </w:t>
      </w:r>
      <w:r>
        <w:rPr>
          <w:rFonts w:hint="eastAsia" w:eastAsia="仿宋_GB2312"/>
          <w:color w:val="000000" w:themeColor="text1"/>
          <w:sz w:val="30"/>
          <w:szCs w:val="32"/>
          <w14:textFill>
            <w14:solidFill>
              <w14:schemeClr w14:val="tx1"/>
            </w14:solidFill>
          </w14:textFill>
        </w:rPr>
        <w:t>图纸的提供</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发包人向承包人提供图纸的期限：</w:t>
      </w:r>
      <w:r>
        <w:rPr>
          <w:rFonts w:hint="eastAsia" w:eastAsia="仿宋_GB2312"/>
          <w:color w:val="000000" w:themeColor="text1"/>
          <w:sz w:val="30"/>
          <w:szCs w:val="32"/>
          <w:u w:val="single"/>
          <w14:textFill>
            <w14:solidFill>
              <w14:schemeClr w14:val="tx1"/>
            </w14:solidFill>
          </w14:textFill>
        </w:rPr>
        <w:t>合同生效后七日内提供</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发包人向承包人提供图纸的数量：</w:t>
      </w:r>
      <w:r>
        <w:rPr>
          <w:rFonts w:hint="eastAsia" w:eastAsia="仿宋_GB2312"/>
          <w:color w:val="000000" w:themeColor="text1"/>
          <w:sz w:val="30"/>
          <w:szCs w:val="32"/>
          <w:u w:val="single"/>
          <w14:textFill>
            <w14:solidFill>
              <w14:schemeClr w14:val="tx1"/>
            </w14:solidFill>
          </w14:textFill>
        </w:rPr>
        <w:t>八套纸质版及电子版。已包括承包人为制作竣工图所需要的图纸份数，图纸超过专用条款约定数量部分的复制费由承包人承担。</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发包人向承包人提供图纸的内容：</w:t>
      </w:r>
      <w:r>
        <w:rPr>
          <w:rFonts w:ascii="仿宋" w:hAnsi="仿宋" w:eastAsia="仿宋" w:cs="仿宋"/>
          <w:color w:val="000000" w:themeColor="text1"/>
          <w:sz w:val="30"/>
          <w:szCs w:val="30"/>
          <w:u w:val="single"/>
          <w14:textFill>
            <w14:solidFill>
              <w14:schemeClr w14:val="tx1"/>
            </w14:solidFill>
          </w14:textFill>
        </w:rPr>
        <w:t>承</w:t>
      </w:r>
      <w:r>
        <w:rPr>
          <w:rFonts w:ascii="仿宋_GB2312" w:hAnsi="仿宋_GB2312" w:eastAsia="仿宋_GB2312" w:cs="仿宋_GB2312"/>
          <w:color w:val="000000" w:themeColor="text1"/>
          <w:sz w:val="30"/>
          <w:szCs w:val="30"/>
          <w:u w:val="single"/>
          <w14:textFill>
            <w14:solidFill>
              <w14:schemeClr w14:val="tx1"/>
            </w14:solidFill>
          </w14:textFill>
        </w:rPr>
        <w:t>包人承包</w:t>
      </w:r>
      <w:r>
        <w:rPr>
          <w:rFonts w:hint="eastAsia" w:ascii="仿宋_GB2312" w:hAnsi="仿宋_GB2312" w:eastAsia="仿宋_GB2312" w:cs="仿宋_GB2312"/>
          <w:color w:val="000000" w:themeColor="text1"/>
          <w:sz w:val="30"/>
          <w:szCs w:val="30"/>
          <w:u w:val="single"/>
          <w14:textFill>
            <w14:solidFill>
              <w14:schemeClr w14:val="tx1"/>
            </w14:solidFill>
          </w14:textFill>
        </w:rPr>
        <w:t>范围内的所有</w:t>
      </w:r>
      <w:r>
        <w:rPr>
          <w:rFonts w:ascii="仿宋_GB2312" w:hAnsi="仿宋_GB2312" w:eastAsia="仿宋_GB2312" w:cs="仿宋_GB2312"/>
          <w:color w:val="000000" w:themeColor="text1"/>
          <w:sz w:val="30"/>
          <w:szCs w:val="30"/>
          <w:u w:val="single"/>
          <w14:textFill>
            <w14:solidFill>
              <w14:schemeClr w14:val="tx1"/>
            </w14:solidFill>
          </w14:textFill>
        </w:rPr>
        <w:t>图纸</w:t>
      </w:r>
      <w:r>
        <w:rPr>
          <w:rFonts w:hint="eastAsia" w:ascii="仿宋_GB2312" w:hAnsi="仿宋_GB2312" w:eastAsia="仿宋_GB2312" w:cs="仿宋_GB2312"/>
          <w:color w:val="000000" w:themeColor="text1"/>
          <w:sz w:val="30"/>
          <w:szCs w:val="30"/>
          <w:u w:val="single"/>
          <w14:textFill>
            <w14:solidFill>
              <w14:schemeClr w14:val="tx1"/>
            </w14:solidFill>
          </w14:textFill>
        </w:rPr>
        <w:t>。</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发包人有权根据设计和施工进度分批向承包人提供图纸，承包人不得以此为理由要求增加费用或顺延工期。</w:t>
      </w:r>
    </w:p>
    <w:p>
      <w:pPr>
        <w:spacing w:line="360" w:lineRule="auto"/>
        <w:ind w:firstLine="600" w:firstLineChars="200"/>
        <w:rPr>
          <w:color w:val="000000" w:themeColor="text1"/>
          <w:sz w:val="30"/>
          <w14:textFill>
            <w14:solidFill>
              <w14:schemeClr w14:val="tx1"/>
            </w14:solidFill>
          </w14:textFill>
        </w:rPr>
      </w:pPr>
      <w:r>
        <w:rPr>
          <w:color w:val="000000" w:themeColor="text1"/>
          <w:sz w:val="30"/>
          <w14:textFill>
            <w14:solidFill>
              <w14:schemeClr w14:val="tx1"/>
            </w14:solidFill>
          </w14:textFill>
        </w:rPr>
        <w:t>1.6.3</w:t>
      </w:r>
      <w:r>
        <w:rPr>
          <w:rFonts w:hint="eastAsia"/>
          <w:color w:val="000000" w:themeColor="text1"/>
          <w:sz w:val="30"/>
          <w14:textFill>
            <w14:solidFill>
              <w14:schemeClr w14:val="tx1"/>
            </w14:solidFill>
          </w14:textFill>
        </w:rPr>
        <w:t>图纸的修改和补充（增加）</w:t>
      </w:r>
    </w:p>
    <w:p>
      <w:pPr>
        <w:spacing w:line="360" w:lineRule="auto"/>
        <w:ind w:firstLine="600" w:firstLineChars="200"/>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图纸的修改和补充，必须经发包人的设计变更流程下发并经监理人书面提交给承包人，发包人和监理人均需有授权人签字并加盖有关项目章后方可有效。</w:t>
      </w:r>
    </w:p>
    <w:p>
      <w:pPr>
        <w:spacing w:line="360" w:lineRule="auto"/>
        <w:ind w:firstLine="600" w:firstLineChars="200"/>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如果发包人未能向承包人及时提供设计变更、图纸补充，并且承包人认为这种行为将要对施工工期造成影响时，承包人应立即就此以书面形式通知发包人，同时说明所缺图纸的具体细节并解释该图纸的延误对工程施工进度的实际影响以及为避免这种影响该图纸必须提供的最晚期限。如果在该最晚期限届满后，发包人仍然未能向承包人提供所需的图纸且确实影响了关键线路的施工的，则按照第</w:t>
      </w:r>
      <w:r>
        <w:rPr>
          <w:rFonts w:eastAsia="仿宋_GB2312"/>
          <w:color w:val="000000" w:themeColor="text1"/>
          <w:kern w:val="0"/>
          <w:sz w:val="30"/>
          <w:szCs w:val="32"/>
          <w:u w:val="single"/>
          <w14:textFill>
            <w14:solidFill>
              <w14:schemeClr w14:val="tx1"/>
            </w14:solidFill>
          </w14:textFill>
        </w:rPr>
        <w:t xml:space="preserve"> 7.5.1 项〔因发包人原因导致工期延误〕的约定顺延工期。如果承包人未能按本款上述约定通知发包人，承包人无权要求顺延工期。</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1.6.4 </w:t>
      </w:r>
      <w:r>
        <w:rPr>
          <w:rFonts w:hint="eastAsia" w:eastAsia="仿宋_GB2312"/>
          <w:color w:val="000000" w:themeColor="text1"/>
          <w:sz w:val="30"/>
          <w:szCs w:val="32"/>
          <w14:textFill>
            <w14:solidFill>
              <w14:schemeClr w14:val="tx1"/>
            </w14:solidFill>
          </w14:textFill>
        </w:rPr>
        <w:t>承包人文件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需要由承包人提供的文件，包括：</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u w:val="single"/>
          <w14:textFill>
            <w14:solidFill>
              <w14:schemeClr w14:val="tx1"/>
            </w14:solidFill>
          </w14:textFill>
        </w:rPr>
        <w:t>1</w:t>
      </w:r>
      <w:r>
        <w:rPr>
          <w:rFonts w:hint="eastAsia" w:eastAsia="仿宋_GB2312"/>
          <w:color w:val="000000" w:themeColor="text1"/>
          <w:sz w:val="30"/>
          <w:szCs w:val="32"/>
          <w:u w:val="single"/>
          <w14:textFill>
            <w14:solidFill>
              <w14:schemeClr w14:val="tx1"/>
            </w14:solidFill>
          </w14:textFill>
        </w:rPr>
        <w:t>）国家、行业、地方现行法规、规范、标准要求的各种文件，（如：施工组织设计、专项施工方案、危险性较大的分部分项方案等）；</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2</w:t>
      </w:r>
      <w:r>
        <w:rPr>
          <w:rFonts w:hint="eastAsia" w:eastAsia="仿宋_GB2312"/>
          <w:color w:val="000000" w:themeColor="text1"/>
          <w:sz w:val="30"/>
          <w:szCs w:val="32"/>
          <w:u w:val="single"/>
          <w14:textFill>
            <w14:solidFill>
              <w14:schemeClr w14:val="tx1"/>
            </w14:solidFill>
          </w14:textFill>
        </w:rPr>
        <w:t>）发包人要求的文件，（如：各类施工进度计划、甲供材明细及计划、深化设计图纸、排版图等）；</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3</w:t>
      </w:r>
      <w:r>
        <w:rPr>
          <w:rFonts w:hint="eastAsia" w:eastAsia="仿宋_GB2312"/>
          <w:color w:val="000000" w:themeColor="text1"/>
          <w:sz w:val="30"/>
          <w:szCs w:val="32"/>
          <w:u w:val="single"/>
          <w14:textFill>
            <w14:solidFill>
              <w14:schemeClr w14:val="tx1"/>
            </w14:solidFill>
          </w14:textFill>
        </w:rPr>
        <w:t>）整套竣工资料及配套电子版（含竣工图）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承包人提供的文件的期限为：</w:t>
      </w:r>
      <w:r>
        <w:rPr>
          <w:rFonts w:hint="eastAsia" w:eastAsia="仿宋_GB2312"/>
          <w:color w:val="000000" w:themeColor="text1"/>
          <w:sz w:val="30"/>
          <w:szCs w:val="32"/>
          <w:u w:val="single"/>
          <w14:textFill>
            <w14:solidFill>
              <w14:schemeClr w14:val="tx1"/>
            </w14:solidFill>
          </w14:textFill>
        </w:rPr>
        <w:t>发包人下达指令七日内，其中竣工资料应在竣工验收之前提供；</w:t>
      </w:r>
      <w:r>
        <w:rPr>
          <w:rFonts w:hint="eastAsia" w:eastAsia="仿宋_GB2312"/>
          <w:color w:val="000000" w:themeColor="text1"/>
          <w:sz w:val="30"/>
          <w:szCs w:val="32"/>
          <w14:textFill>
            <w14:solidFill>
              <w14:schemeClr w14:val="tx1"/>
            </w14:solidFill>
          </w14:textFill>
        </w:rPr>
        <w:t>承包人提供的文件的数量为：</w:t>
      </w:r>
      <w:r>
        <w:rPr>
          <w:rFonts w:hint="eastAsia" w:eastAsia="仿宋_GB2312"/>
          <w:color w:val="000000" w:themeColor="text1"/>
          <w:sz w:val="30"/>
          <w:szCs w:val="32"/>
          <w:u w:val="single"/>
          <w14:textFill>
            <w14:solidFill>
              <w14:schemeClr w14:val="tx1"/>
            </w14:solidFill>
          </w14:textFill>
        </w:rPr>
        <w:t>满足实际使用要求，其中竣工资料三套</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承包人提供的文件的形式为：</w:t>
      </w:r>
      <w:r>
        <w:rPr>
          <w:rFonts w:hint="eastAsia" w:eastAsia="仿宋_GB2312"/>
          <w:color w:val="000000" w:themeColor="text1"/>
          <w:sz w:val="30"/>
          <w:szCs w:val="32"/>
          <w:u w:val="single"/>
          <w14:textFill>
            <w14:solidFill>
              <w14:schemeClr w14:val="tx1"/>
            </w14:solidFill>
          </w14:textFill>
        </w:rPr>
        <w:t>书面及电子版，书面资料的格式应符合监理人、发包人、政府有关管理部门的要求</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发包人审批承包人文件的期限：</w:t>
      </w:r>
      <w:r>
        <w:rPr>
          <w:rFonts w:hint="eastAsia" w:eastAsia="仿宋_GB2312"/>
          <w:color w:val="000000" w:themeColor="text1"/>
          <w:sz w:val="30"/>
          <w:szCs w:val="32"/>
          <w:u w:val="single"/>
          <w14:textFill>
            <w14:solidFill>
              <w14:schemeClr w14:val="tx1"/>
            </w14:solidFill>
          </w14:textFill>
        </w:rPr>
        <w:t>发包人收到承包人文件</w:t>
      </w:r>
      <w:r>
        <w:rPr>
          <w:rFonts w:eastAsia="仿宋_GB2312"/>
          <w:color w:val="000000" w:themeColor="text1"/>
          <w:sz w:val="30"/>
          <w:szCs w:val="32"/>
          <w:u w:val="single"/>
          <w14:textFill>
            <w14:solidFill>
              <w14:schemeClr w14:val="tx1"/>
            </w14:solidFill>
          </w14:textFill>
        </w:rPr>
        <w:t>7</w:t>
      </w:r>
      <w:r>
        <w:rPr>
          <w:rFonts w:hint="eastAsia" w:eastAsia="仿宋_GB2312"/>
          <w:color w:val="000000" w:themeColor="text1"/>
          <w:sz w:val="30"/>
          <w:szCs w:val="32"/>
          <w:u w:val="single"/>
          <w14:textFill>
            <w14:solidFill>
              <w14:schemeClr w14:val="tx1"/>
            </w14:solidFill>
          </w14:textFill>
        </w:rPr>
        <w:t>天内提出意见；若有异议承包人应予以修改并重新报送直至取得发包人认可。</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1.6.5 </w:t>
      </w:r>
      <w:r>
        <w:rPr>
          <w:rFonts w:hint="eastAsia" w:eastAsia="仿宋_GB2312"/>
          <w:color w:val="000000" w:themeColor="text1"/>
          <w:sz w:val="30"/>
          <w:szCs w:val="32"/>
          <w14:textFill>
            <w14:solidFill>
              <w14:schemeClr w14:val="tx1"/>
            </w14:solidFill>
          </w14:textFill>
        </w:rPr>
        <w:t>现场图纸准备</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关于现场图纸准备的约定：</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1.7 </w:t>
      </w:r>
      <w:r>
        <w:rPr>
          <w:rFonts w:hint="eastAsia" w:eastAsia="黑体"/>
          <w:color w:val="000000" w:themeColor="text1"/>
          <w:sz w:val="30"/>
          <w:szCs w:val="32"/>
          <w14:textFill>
            <w14:solidFill>
              <w14:schemeClr w14:val="tx1"/>
            </w14:solidFill>
          </w14:textFill>
        </w:rPr>
        <w:t>联络</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1.7.1</w:t>
      </w:r>
      <w:r>
        <w:rPr>
          <w:rFonts w:hint="eastAsia" w:eastAsia="仿宋_GB2312"/>
          <w:color w:val="000000" w:themeColor="text1"/>
          <w:kern w:val="0"/>
          <w:sz w:val="30"/>
          <w:szCs w:val="32"/>
          <w14:textFill>
            <w14:solidFill>
              <w14:schemeClr w14:val="tx1"/>
            </w14:solidFill>
          </w14:textFill>
        </w:rPr>
        <w:t>发包人和承包人应当在</w:t>
      </w:r>
      <w:r>
        <w:rPr>
          <w:rFonts w:hint="eastAsia" w:eastAsia="仿宋_GB2312"/>
          <w:color w:val="000000" w:themeColor="text1"/>
          <w:sz w:val="30"/>
          <w:szCs w:val="32"/>
          <w:u w:val="single"/>
          <w14:textFill>
            <w14:solidFill>
              <w14:schemeClr w14:val="tx1"/>
            </w14:solidFill>
          </w14:textFill>
        </w:rPr>
        <w:t>七</w:t>
      </w:r>
      <w:r>
        <w:rPr>
          <w:rFonts w:hint="eastAsia" w:eastAsia="仿宋_GB2312"/>
          <w:color w:val="000000" w:themeColor="text1"/>
          <w:kern w:val="0"/>
          <w:sz w:val="30"/>
          <w:szCs w:val="32"/>
          <w14:textFill>
            <w14:solidFill>
              <w14:schemeClr w14:val="tx1"/>
            </w14:solidFill>
          </w14:textFill>
        </w:rPr>
        <w:t>天内将与合同有关的通知、批准、证明、证书、指示、指令、要求、请求、同意、意见、确定和决定等书面函件送达对方当事人。</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1.7.2 </w:t>
      </w:r>
      <w:r>
        <w:rPr>
          <w:rFonts w:hint="eastAsia" w:eastAsia="仿宋_GB2312"/>
          <w:color w:val="000000" w:themeColor="text1"/>
          <w:kern w:val="0"/>
          <w:sz w:val="30"/>
          <w:szCs w:val="32"/>
          <w14:textFill>
            <w14:solidFill>
              <w14:schemeClr w14:val="tx1"/>
            </w14:solidFill>
          </w14:textFill>
        </w:rPr>
        <w:t>发包人接收文件的地点：</w:t>
      </w:r>
      <w:r>
        <w:rPr>
          <w:rFonts w:hint="eastAsia" w:eastAsia="仿宋_GB2312"/>
          <w:color w:val="000000" w:themeColor="text1"/>
          <w:sz w:val="30"/>
          <w:szCs w:val="32"/>
          <w:u w:val="single"/>
          <w14:textFill>
            <w14:solidFill>
              <w14:schemeClr w14:val="tx1"/>
            </w14:solidFill>
          </w14:textFill>
        </w:rPr>
        <w:t>发包人项目现场办公室</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发包人指定的接收人为：</w:t>
      </w:r>
      <w:r>
        <w:rPr>
          <w:rFonts w:hint="eastAsia" w:eastAsia="仿宋_GB2312"/>
          <w:i/>
          <w:iCs/>
          <w:color w:val="000000" w:themeColor="text1"/>
          <w:sz w:val="30"/>
          <w:szCs w:val="32"/>
          <w:u w:val="single"/>
          <w14:textFill>
            <w14:solidFill>
              <w14:schemeClr w14:val="tx1"/>
            </w14:solidFill>
          </w14:textFill>
        </w:rPr>
        <w:t>合同中的工程师（发包人）姓名</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承包人接收文件的地点：</w:t>
      </w:r>
      <w:r>
        <w:rPr>
          <w:rFonts w:hint="eastAsia" w:eastAsia="仿宋_GB2312"/>
          <w:color w:val="000000" w:themeColor="text1"/>
          <w:sz w:val="30"/>
          <w:szCs w:val="32"/>
          <w:u w:val="single"/>
          <w14:textFill>
            <w14:solidFill>
              <w14:schemeClr w14:val="tx1"/>
            </w14:solidFill>
          </w14:textFill>
        </w:rPr>
        <w:t>承包人项目现场办公室</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承包人指定的接收人为：</w:t>
      </w:r>
      <w:r>
        <w:rPr>
          <w:rFonts w:hint="eastAsia" w:eastAsia="仿宋_GB2312"/>
          <w:i/>
          <w:iCs/>
          <w:color w:val="000000" w:themeColor="text1"/>
          <w:sz w:val="30"/>
          <w:szCs w:val="32"/>
          <w:u w:val="single"/>
          <w14:textFill>
            <w14:solidFill>
              <w14:schemeClr w14:val="tx1"/>
            </w14:solidFill>
          </w14:textFill>
        </w:rPr>
        <w:t>项目经理姓名</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监理人接收文件的地点：</w:t>
      </w:r>
      <w:r>
        <w:rPr>
          <w:rFonts w:hint="eastAsia" w:eastAsia="仿宋_GB2312"/>
          <w:color w:val="000000" w:themeColor="text1"/>
          <w:sz w:val="30"/>
          <w:szCs w:val="32"/>
          <w:u w:val="single"/>
          <w14:textFill>
            <w14:solidFill>
              <w14:schemeClr w14:val="tx1"/>
            </w14:solidFill>
          </w14:textFill>
        </w:rPr>
        <w:t>监理人项目现场办公室</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监理人指定的接收人为：</w:t>
      </w:r>
      <w:r>
        <w:rPr>
          <w:rFonts w:hint="eastAsia" w:eastAsia="仿宋_GB2312"/>
          <w:i/>
          <w:iCs/>
          <w:color w:val="000000" w:themeColor="text1"/>
          <w:sz w:val="30"/>
          <w:szCs w:val="32"/>
          <w:u w:val="single"/>
          <w14:textFill>
            <w14:solidFill>
              <w14:schemeClr w14:val="tx1"/>
            </w14:solidFill>
          </w14:textFill>
        </w:rPr>
        <w:t>总监理工程师姓名</w:t>
      </w:r>
      <w:r>
        <w:rPr>
          <w:rFonts w:hint="eastAsia" w:eastAsia="仿宋_GB2312"/>
          <w:color w:val="000000" w:themeColor="text1"/>
          <w:kern w:val="0"/>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1.10 </w:t>
      </w:r>
      <w:r>
        <w:rPr>
          <w:rFonts w:hint="eastAsia" w:eastAsia="黑体"/>
          <w:color w:val="000000" w:themeColor="text1"/>
          <w:sz w:val="30"/>
          <w:szCs w:val="32"/>
          <w14:textFill>
            <w14:solidFill>
              <w14:schemeClr w14:val="tx1"/>
            </w14:solidFill>
          </w14:textFill>
        </w:rPr>
        <w:t>交通运输</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1.10.1 </w:t>
      </w:r>
      <w:r>
        <w:rPr>
          <w:rFonts w:hint="eastAsia" w:eastAsia="仿宋_GB2312"/>
          <w:color w:val="000000" w:themeColor="text1"/>
          <w:sz w:val="30"/>
          <w:szCs w:val="32"/>
          <w14:textFill>
            <w14:solidFill>
              <w14:schemeClr w14:val="tx1"/>
            </w14:solidFill>
          </w14:textFill>
        </w:rPr>
        <w:t>出入现场的权利</w:t>
      </w:r>
    </w:p>
    <w:p>
      <w:pPr>
        <w:spacing w:line="360" w:lineRule="auto"/>
        <w:ind w:left="596" w:leftChars="284"/>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关于出入现场的权利的约定：</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1.10.3 </w:t>
      </w:r>
      <w:r>
        <w:rPr>
          <w:rFonts w:hint="eastAsia" w:eastAsia="仿宋_GB2312"/>
          <w:color w:val="000000" w:themeColor="text1"/>
          <w:sz w:val="30"/>
          <w:szCs w:val="32"/>
          <w14:textFill>
            <w14:solidFill>
              <w14:schemeClr w14:val="tx1"/>
            </w14:solidFill>
          </w14:textFill>
        </w:rPr>
        <w:t>场内交通</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关于场外交通和场内交通的边界的约定：</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kern w:val="0"/>
          <w:sz w:val="30"/>
          <w:szCs w:val="32"/>
          <w:u w:val="single"/>
          <w14:textFill>
            <w14:solidFill>
              <w14:schemeClr w14:val="tx1"/>
            </w14:solidFill>
          </w14:textFill>
        </w:rPr>
        <w:t>已有厂区内项目，以监理人</w:t>
      </w:r>
      <w:r>
        <w:rPr>
          <w:rFonts w:eastAsia="仿宋_GB2312"/>
          <w:color w:val="000000" w:themeColor="text1"/>
          <w:kern w:val="0"/>
          <w:sz w:val="30"/>
          <w:szCs w:val="32"/>
          <w:u w:val="single"/>
          <w14:textFill>
            <w14:solidFill>
              <w14:schemeClr w14:val="tx1"/>
            </w14:solidFill>
          </w14:textFill>
        </w:rPr>
        <w:t>/</w:t>
      </w:r>
      <w:r>
        <w:rPr>
          <w:rFonts w:hint="eastAsia" w:eastAsia="仿宋_GB2312"/>
          <w:color w:val="000000" w:themeColor="text1"/>
          <w:kern w:val="0"/>
          <w:sz w:val="30"/>
          <w:szCs w:val="32"/>
          <w:u w:val="single"/>
          <w14:textFill>
            <w14:solidFill>
              <w14:schemeClr w14:val="tx1"/>
            </w14:solidFill>
          </w14:textFill>
        </w:rPr>
        <w:t>发包人审核通过的施工组织设计中的施工总平面布置图为依据，以项目施工场地与非施工区域的区域隔离为界，隔离分界以内为场内交通，分界以外为场外交通</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关于发包人向承包人免费提供满足工程施工需要的场内道路和交通设施的约定：</w:t>
      </w:r>
      <w:r>
        <w:rPr>
          <w:rFonts w:hint="eastAsia" w:eastAsia="仿宋_GB2312"/>
          <w:color w:val="000000" w:themeColor="text1"/>
          <w:sz w:val="30"/>
          <w:szCs w:val="32"/>
          <w:u w:val="single"/>
          <w14:textFill>
            <w14:solidFill>
              <w14:schemeClr w14:val="tx1"/>
            </w14:solidFill>
          </w14:textFill>
        </w:rPr>
        <w:t>场内交通设施及道路由承包人负责修建、维修、养护，其费用已在签约合同价中</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1.10.4</w:t>
      </w:r>
      <w:r>
        <w:rPr>
          <w:rFonts w:hint="eastAsia" w:eastAsia="仿宋_GB2312"/>
          <w:color w:val="000000" w:themeColor="text1"/>
          <w:sz w:val="30"/>
          <w:szCs w:val="32"/>
          <w14:textFill>
            <w14:solidFill>
              <w14:schemeClr w14:val="tx1"/>
            </w14:solidFill>
          </w14:textFill>
        </w:rPr>
        <w:t>超大件和超重件的运输</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运输超大件或超重件所需的道路和桥梁临时加固改造费用和其他有关费用由</w:t>
      </w:r>
      <w:r>
        <w:rPr>
          <w:rFonts w:hint="eastAsia" w:eastAsia="仿宋_GB2312"/>
          <w:color w:val="000000" w:themeColor="text1"/>
          <w:sz w:val="30"/>
          <w:szCs w:val="32"/>
          <w:u w:val="single"/>
          <w14:textFill>
            <w14:solidFill>
              <w14:schemeClr w14:val="tx1"/>
            </w14:solidFill>
          </w14:textFill>
        </w:rPr>
        <w:t>承包人</w:t>
      </w:r>
      <w:r>
        <w:rPr>
          <w:rFonts w:hint="eastAsia" w:eastAsia="仿宋_GB2312"/>
          <w:color w:val="000000" w:themeColor="text1"/>
          <w:sz w:val="30"/>
          <w:szCs w:val="32"/>
          <w14:textFill>
            <w14:solidFill>
              <w14:schemeClr w14:val="tx1"/>
            </w14:solidFill>
          </w14:textFill>
        </w:rPr>
        <w:t>承担。</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1.11 </w:t>
      </w:r>
      <w:r>
        <w:rPr>
          <w:rFonts w:hint="eastAsia" w:eastAsia="黑体"/>
          <w:color w:val="000000" w:themeColor="text1"/>
          <w:sz w:val="30"/>
          <w:szCs w:val="32"/>
          <w14:textFill>
            <w14:solidFill>
              <w14:schemeClr w14:val="tx1"/>
            </w14:solidFill>
          </w14:textFill>
        </w:rPr>
        <w:t>知识产权</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1.11.1</w:t>
      </w:r>
      <w:r>
        <w:rPr>
          <w:rFonts w:hint="eastAsia" w:eastAsia="仿宋_GB2312"/>
          <w:color w:val="000000" w:themeColor="text1"/>
          <w:sz w:val="30"/>
          <w:szCs w:val="32"/>
          <w14:textFill>
            <w14:solidFill>
              <w14:schemeClr w14:val="tx1"/>
            </w14:solidFill>
          </w14:textFill>
        </w:rPr>
        <w:t>关于发包人提供给承包人的图纸、发包人为实施工程自行编制或委托编制的技术规范以及反映发包人关于合同要求或其他类似性质的文件的著作权的归属：</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关于发包人提供的上述文件的使用限制的要求：</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1.11.2 </w:t>
      </w:r>
      <w:r>
        <w:rPr>
          <w:rFonts w:hint="eastAsia" w:eastAsia="仿宋_GB2312"/>
          <w:color w:val="000000" w:themeColor="text1"/>
          <w:sz w:val="30"/>
          <w:szCs w:val="32"/>
          <w14:textFill>
            <w14:solidFill>
              <w14:schemeClr w14:val="tx1"/>
            </w14:solidFill>
          </w14:textFill>
        </w:rPr>
        <w:t>关于承包人为实施工程所编制文件的著作权的归属：</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关于承包人提供的上述文件的使用限制的要求：</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1.11.4 </w:t>
      </w:r>
      <w:r>
        <w:rPr>
          <w:rFonts w:hint="eastAsia" w:eastAsia="仿宋_GB2312"/>
          <w:color w:val="000000" w:themeColor="text1"/>
          <w:sz w:val="30"/>
          <w:szCs w:val="32"/>
          <w14:textFill>
            <w14:solidFill>
              <w14:schemeClr w14:val="tx1"/>
            </w14:solidFill>
          </w14:textFill>
        </w:rPr>
        <w:t>承包人在施工过程中所采用的专利、专有技术、技术秘密的使用费的承担方式：</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kern w:val="0"/>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1.13</w:t>
      </w:r>
      <w:r>
        <w:rPr>
          <w:rFonts w:hint="eastAsia" w:eastAsia="黑体"/>
          <w:color w:val="000000" w:themeColor="text1"/>
          <w:sz w:val="30"/>
          <w:szCs w:val="32"/>
          <w14:textFill>
            <w14:solidFill>
              <w14:schemeClr w14:val="tx1"/>
            </w14:solidFill>
          </w14:textFill>
        </w:rPr>
        <w:t>工程量清单错误的修正</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出现工程量清单错误时，是否调整合同价格：</w:t>
      </w:r>
    </w:p>
    <w:p>
      <w:pPr>
        <w:spacing w:line="360" w:lineRule="auto"/>
        <w:ind w:firstLine="600" w:firstLineChars="200"/>
        <w:rPr>
          <w:rFonts w:eastAsia="仿宋_GB2312"/>
          <w:i/>
          <w:iCs/>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本合同为单价合同，综合单价不因工程量清单的变化而调整，工程量据实计量，合同价格的调整以最终结算为准</w:t>
      </w:r>
      <w:r>
        <w:rPr>
          <w:rFonts w:eastAsia="仿宋_GB2312"/>
          <w:color w:val="000000" w:themeColor="text1"/>
          <w:sz w:val="30"/>
          <w:szCs w:val="32"/>
          <w:u w:val="single"/>
          <w14:textFill>
            <w14:solidFill>
              <w14:schemeClr w14:val="tx1"/>
            </w14:solidFill>
          </w14:textFill>
        </w:rPr>
        <w:t xml:space="preserve"> </w:t>
      </w:r>
      <w:r>
        <w:rPr>
          <w:rFonts w:hint="eastAsia" w:eastAsia="仿宋_GB2312"/>
          <w:i/>
          <w:iCs/>
          <w:color w:val="000000" w:themeColor="text1"/>
          <w:kern w:val="0"/>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允许调整合同价格的工程量偏差范围：</w:t>
      </w:r>
      <w:r>
        <w:rPr>
          <w:rFonts w:ascii="Arial" w:hAnsi="Arial" w:eastAsia="仿宋_GB2312" w:cs="Arial"/>
          <w:color w:val="000000" w:themeColor="text1"/>
          <w:sz w:val="30"/>
          <w:szCs w:val="32"/>
          <w:u w:val="single"/>
          <w14:textFill>
            <w14:solidFill>
              <w14:schemeClr w14:val="tx1"/>
            </w14:solidFill>
          </w14:textFill>
        </w:rPr>
        <w:t>/</w:t>
      </w:r>
      <w:r>
        <w:rPr>
          <w:rFonts w:hint="eastAsia" w:eastAsia="仿宋_GB2312"/>
          <w:color w:val="000000" w:themeColor="text1"/>
          <w:kern w:val="0"/>
          <w:sz w:val="30"/>
          <w:szCs w:val="32"/>
          <w14:textFill>
            <w14:solidFill>
              <w14:schemeClr w14:val="tx1"/>
            </w14:solidFill>
          </w14:textFill>
        </w:rPr>
        <w:t>。</w:t>
      </w:r>
    </w:p>
    <w:p>
      <w:pPr>
        <w:pStyle w:val="8"/>
      </w:pPr>
      <w:r>
        <w:t xml:space="preserve">2. </w:t>
      </w:r>
      <w:r>
        <w:rPr>
          <w:rFonts w:hint="eastAsia"/>
        </w:rPr>
        <w:t>发包人</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2.2 </w:t>
      </w:r>
      <w:r>
        <w:rPr>
          <w:rFonts w:hint="eastAsia" w:eastAsia="黑体"/>
          <w:color w:val="000000" w:themeColor="text1"/>
          <w:sz w:val="30"/>
          <w:szCs w:val="32"/>
          <w14:textFill>
            <w14:solidFill>
              <w14:schemeClr w14:val="tx1"/>
            </w14:solidFill>
          </w14:textFill>
        </w:rPr>
        <w:t>发包人代表</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发包人代表：</w:t>
      </w:r>
      <w:r>
        <w:rPr>
          <w:rFonts w:hint="eastAsia"/>
          <w:i/>
          <w:color w:val="000000" w:themeColor="text1"/>
          <w:sz w:val="30"/>
          <w14:textFill>
            <w14:solidFill>
              <w14:schemeClr w14:val="tx1"/>
            </w14:solidFill>
          </w14:textFill>
        </w:rPr>
        <w:t>（据实填写）</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姓</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名：</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身份证号：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职</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务：</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联系电话：</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电子信箱：</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通信地址：</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发包人对发包人代表的授权范围如下：</w:t>
      </w:r>
      <w:r>
        <w:rPr>
          <w:rFonts w:hint="eastAsia" w:eastAsia="仿宋_GB2312"/>
          <w:color w:val="000000" w:themeColor="text1"/>
          <w:sz w:val="30"/>
          <w:szCs w:val="32"/>
          <w:u w:val="single"/>
          <w14:textFill>
            <w14:solidFill>
              <w14:schemeClr w14:val="tx1"/>
            </w14:solidFill>
          </w14:textFill>
        </w:rPr>
        <w:t>负责处理合同履行过程中与发包人有关的事宜：对本工程质量、进度、安全文明施工及材料和设备进场进行监督管理；对涉及工期调整、设计变更和现场工程量签证、工程形象进度报告及工程款审核、竣工结算报告等影响工程造价的相关事项作出处理；办理工程移交、资料移交及工程验收手续；组织竣工结算报审；协调施工现场及外部有关事宜；质量保修期内的组织协调安排。</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凡涉及工期调整、工程暂停、工程复工、变更洽商、工作联系单、现场签证、工程计量、价格调整、价格确认、工程验收等其他可能影响发包人利益的内容必须发包人授权代表签字并加盖发包人项目章后方可有效。</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2.4 </w:t>
      </w:r>
      <w:r>
        <w:rPr>
          <w:rFonts w:hint="eastAsia" w:eastAsia="黑体"/>
          <w:color w:val="000000" w:themeColor="text1"/>
          <w:sz w:val="30"/>
          <w:szCs w:val="32"/>
          <w14:textFill>
            <w14:solidFill>
              <w14:schemeClr w14:val="tx1"/>
            </w14:solidFill>
          </w14:textFill>
        </w:rPr>
        <w:t>施工现场、施工条件和基础资料的提供</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2.4.1 </w:t>
      </w:r>
      <w:r>
        <w:rPr>
          <w:rFonts w:hint="eastAsia" w:eastAsia="仿宋_GB2312"/>
          <w:color w:val="000000" w:themeColor="text1"/>
          <w:sz w:val="30"/>
          <w:szCs w:val="32"/>
          <w14:textFill>
            <w14:solidFill>
              <w14:schemeClr w14:val="tx1"/>
            </w14:solidFill>
          </w14:textFill>
        </w:rPr>
        <w:t>提供施工现场</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关于发包人移交施工现场的期限要求：</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发包人可以按单位工程或工程标段分阶段提供施工现场。</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2.4.2 </w:t>
      </w:r>
      <w:r>
        <w:rPr>
          <w:rFonts w:hint="eastAsia" w:eastAsia="仿宋_GB2312"/>
          <w:color w:val="000000" w:themeColor="text1"/>
          <w:sz w:val="30"/>
          <w:szCs w:val="32"/>
          <w14:textFill>
            <w14:solidFill>
              <w14:schemeClr w14:val="tx1"/>
            </w14:solidFill>
          </w14:textFill>
        </w:rPr>
        <w:t>提供施工条件</w:t>
      </w:r>
    </w:p>
    <w:p>
      <w:pPr>
        <w:spacing w:line="520" w:lineRule="exact"/>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关于发包人应负责提供施工所需要的条件，包括：</w:t>
      </w:r>
      <w:r>
        <w:rPr>
          <w:rFonts w:hint="eastAsia" w:eastAsia="仿宋_GB2312"/>
          <w:color w:val="000000" w:themeColor="text1"/>
          <w:sz w:val="30"/>
          <w:szCs w:val="32"/>
          <w:u w:val="single"/>
          <w14:textFill>
            <w14:solidFill>
              <w14:schemeClr w14:val="tx1"/>
            </w14:solidFill>
          </w14:textFill>
        </w:rPr>
        <w:t>执行《通用合同条款》，且发包人向承包人移交水准点与坐标控制点</w:t>
      </w:r>
      <w:r>
        <w:rPr>
          <w:rFonts w:hint="eastAsia" w:ascii="仿宋_GB2312" w:hAnsi="仿宋_GB2312" w:eastAsia="仿宋_GB2312" w:cs="仿宋_GB2312"/>
          <w:color w:val="000000" w:themeColor="text1"/>
          <w:sz w:val="32"/>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以书面形式交给承包人，进行现场交验。</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2.5 </w:t>
      </w:r>
      <w:r>
        <w:rPr>
          <w:rFonts w:hint="eastAsia" w:eastAsia="黑体"/>
          <w:color w:val="000000" w:themeColor="text1"/>
          <w:sz w:val="30"/>
          <w:szCs w:val="32"/>
          <w14:textFill>
            <w14:solidFill>
              <w14:schemeClr w14:val="tx1"/>
            </w14:solidFill>
          </w14:textFill>
        </w:rPr>
        <w:t>资金来源证明及支付担保</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发包人提供资金来源证明的期限要求：</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发包人是否提供支付担保：</w:t>
      </w:r>
      <w:r>
        <w:rPr>
          <w:rFonts w:hint="eastAsia" w:eastAsia="仿宋_GB2312"/>
          <w:color w:val="000000" w:themeColor="text1"/>
          <w:sz w:val="30"/>
          <w:szCs w:val="32"/>
          <w:u w:val="single"/>
          <w14:textFill>
            <w14:solidFill>
              <w14:schemeClr w14:val="tx1"/>
            </w14:solidFill>
          </w14:textFill>
        </w:rPr>
        <w:t>否</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发包人提供支付担保的形式：</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pStyle w:val="8"/>
      </w:pPr>
      <w:r>
        <w:t xml:space="preserve">3. </w:t>
      </w:r>
      <w:r>
        <w:rPr>
          <w:rFonts w:hint="eastAsia"/>
        </w:rPr>
        <w:t>承包人</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3.1 </w:t>
      </w:r>
      <w:r>
        <w:rPr>
          <w:rFonts w:hint="eastAsia" w:eastAsia="黑体"/>
          <w:color w:val="000000" w:themeColor="text1"/>
          <w:sz w:val="30"/>
          <w:szCs w:val="32"/>
          <w14:textFill>
            <w14:solidFill>
              <w14:schemeClr w14:val="tx1"/>
            </w14:solidFill>
          </w14:textFill>
        </w:rPr>
        <w:t>承包人的一般义务</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9</w:t>
      </w:r>
      <w:r>
        <w:rPr>
          <w:rFonts w:hint="eastAsia" w:eastAsia="仿宋_GB2312"/>
          <w:color w:val="000000" w:themeColor="text1"/>
          <w:kern w:val="0"/>
          <w:sz w:val="30"/>
          <w:szCs w:val="32"/>
          <w14:textFill>
            <w14:solidFill>
              <w14:schemeClr w14:val="tx1"/>
            </w14:solidFill>
          </w14:textFill>
        </w:rPr>
        <w:t>）</w:t>
      </w:r>
      <w:r>
        <w:rPr>
          <w:rFonts w:hint="eastAsia" w:eastAsia="仿宋_GB2312"/>
          <w:color w:val="000000" w:themeColor="text1"/>
          <w:sz w:val="30"/>
          <w:szCs w:val="32"/>
          <w14:textFill>
            <w14:solidFill>
              <w14:schemeClr w14:val="tx1"/>
            </w14:solidFill>
          </w14:textFill>
        </w:rPr>
        <w:t>承包人提交的竣工资料的内容：</w:t>
      </w:r>
    </w:p>
    <w:p>
      <w:pPr>
        <w:spacing w:line="360" w:lineRule="auto"/>
        <w:ind w:firstLine="600" w:firstLineChars="200"/>
        <w:jc w:val="left"/>
        <w:rPr>
          <w:color w:val="000000" w:themeColor="text1"/>
          <w:sz w:val="30"/>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以发包人档案管理要求为准；</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承包人需要提交的竣工资料套数：</w:t>
      </w:r>
      <w:r>
        <w:rPr>
          <w:rFonts w:hint="eastAsia" w:eastAsia="仿宋_GB2312"/>
          <w:color w:val="000000" w:themeColor="text1"/>
          <w:sz w:val="30"/>
          <w:szCs w:val="32"/>
          <w:u w:val="single"/>
          <w14:textFill>
            <w14:solidFill>
              <w14:schemeClr w14:val="tx1"/>
            </w14:solidFill>
          </w14:textFill>
        </w:rPr>
        <w:t>竣工资料纸质</w:t>
      </w:r>
      <w:r>
        <w:rPr>
          <w:rFonts w:eastAsia="仿宋_GB2312"/>
          <w:i/>
          <w:iCs/>
          <w:color w:val="000000" w:themeColor="text1"/>
          <w:sz w:val="30"/>
          <w:szCs w:val="32"/>
          <w:u w:val="single"/>
          <w14:textFill>
            <w14:solidFill>
              <w14:schemeClr w14:val="tx1"/>
            </w14:solidFill>
          </w14:textFill>
        </w:rPr>
        <w:t>3</w:t>
      </w:r>
      <w:r>
        <w:rPr>
          <w:rFonts w:hint="eastAsia" w:eastAsia="仿宋_GB2312"/>
          <w:color w:val="000000" w:themeColor="text1"/>
          <w:sz w:val="30"/>
          <w:szCs w:val="32"/>
          <w:u w:val="single"/>
          <w14:textFill>
            <w14:solidFill>
              <w14:schemeClr w14:val="tx1"/>
            </w14:solidFill>
          </w14:textFill>
        </w:rPr>
        <w:t>套，电子扫描文档（刻盘）</w:t>
      </w:r>
      <w:r>
        <w:rPr>
          <w:rFonts w:eastAsia="仿宋_GB2312"/>
          <w:color w:val="000000" w:themeColor="text1"/>
          <w:sz w:val="30"/>
          <w:szCs w:val="32"/>
          <w:u w:val="single"/>
          <w14:textFill>
            <w14:solidFill>
              <w14:schemeClr w14:val="tx1"/>
            </w14:solidFill>
          </w14:textFill>
        </w:rPr>
        <w:t>1</w:t>
      </w:r>
      <w:r>
        <w:rPr>
          <w:rFonts w:hint="eastAsia" w:eastAsia="仿宋_GB2312"/>
          <w:color w:val="000000" w:themeColor="text1"/>
          <w:sz w:val="30"/>
          <w:szCs w:val="32"/>
          <w:u w:val="single"/>
          <w14:textFill>
            <w14:solidFill>
              <w14:schemeClr w14:val="tx1"/>
            </w14:solidFill>
          </w14:textFill>
        </w:rPr>
        <w:t>套，其中竣工图三套</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承包人提交的竣工资料的费用承担：</w:t>
      </w:r>
      <w:r>
        <w:rPr>
          <w:rFonts w:hint="eastAsia" w:eastAsia="仿宋_GB2312"/>
          <w:color w:val="000000" w:themeColor="text1"/>
          <w:sz w:val="30"/>
          <w:szCs w:val="32"/>
          <w:u w:val="single"/>
          <w14:textFill>
            <w14:solidFill>
              <w14:schemeClr w14:val="tx1"/>
            </w14:solidFill>
          </w14:textFill>
        </w:rPr>
        <w:t>由承包人承担</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承包人提交的竣工资料移交时间：</w:t>
      </w:r>
      <w:r>
        <w:rPr>
          <w:rFonts w:hint="eastAsia" w:eastAsia="仿宋_GB2312"/>
          <w:color w:val="000000" w:themeColor="text1"/>
          <w:sz w:val="30"/>
          <w:szCs w:val="32"/>
          <w:u w:val="single"/>
          <w14:textFill>
            <w14:solidFill>
              <w14:schemeClr w14:val="tx1"/>
            </w14:solidFill>
          </w14:textFill>
        </w:rPr>
        <w:t>工程竣工后竣工验收前提供，否则不予组织竣工验收</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承包人提交的竣工资料形式要求：</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符合发包人档案管理要求</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（1</w:t>
      </w:r>
      <w:r>
        <w:rPr>
          <w:rFonts w:eastAsia="仿宋_GB2312"/>
          <w:color w:val="000000" w:themeColor="text1"/>
          <w:kern w:val="0"/>
          <w:sz w:val="30"/>
          <w:szCs w:val="32"/>
          <w14:textFill>
            <w14:solidFill>
              <w14:schemeClr w14:val="tx1"/>
            </w14:solidFill>
          </w14:textFill>
        </w:rPr>
        <w:t>0</w:t>
      </w:r>
      <w:r>
        <w:rPr>
          <w:rFonts w:hint="eastAsia" w:eastAsia="仿宋_GB2312"/>
          <w:color w:val="000000" w:themeColor="text1"/>
          <w:kern w:val="0"/>
          <w:sz w:val="30"/>
          <w:szCs w:val="32"/>
          <w14:textFill>
            <w14:solidFill>
              <w14:schemeClr w14:val="tx1"/>
            </w14:solidFill>
          </w14:textFill>
        </w:rPr>
        <w:t>）承包人应履行的其他义务：</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3.1.10.1</w:t>
      </w:r>
      <w:r>
        <w:rPr>
          <w:rFonts w:hint="eastAsia" w:eastAsia="仿宋_GB2312"/>
          <w:color w:val="000000" w:themeColor="text1"/>
          <w:sz w:val="30"/>
          <w:szCs w:val="32"/>
          <w:u w:val="single"/>
          <w14:textFill>
            <w14:solidFill>
              <w14:schemeClr w14:val="tx1"/>
            </w14:solidFill>
          </w14:textFill>
        </w:rPr>
        <w:t>向发包人提供的办公和生活房屋及设施的要求：无</w:t>
      </w:r>
      <w:r>
        <w:rPr>
          <w:rFonts w:hint="eastAsia" w:eastAsia="仿宋_GB2312"/>
          <w:i/>
          <w:iCs/>
          <w:color w:val="000000" w:themeColor="text1"/>
          <w:sz w:val="30"/>
          <w:szCs w:val="32"/>
          <w:u w:val="single"/>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3.1.10.2</w:t>
      </w:r>
      <w:r>
        <w:rPr>
          <w:rFonts w:hint="eastAsia" w:eastAsia="仿宋_GB2312"/>
          <w:color w:val="000000" w:themeColor="text1"/>
          <w:sz w:val="30"/>
          <w:szCs w:val="32"/>
          <w:u w:val="single"/>
          <w14:textFill>
            <w14:solidFill>
              <w14:schemeClr w14:val="tx1"/>
            </w14:solidFill>
          </w14:textFill>
        </w:rPr>
        <w:t>承包人必须对发包人提供的原始基准点、坐标、标高等测</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量控制点进行复核，并将复核结果报监理人审核。此后控制点由承包人负责保护，并承担因此发生的费用。由于控制点破坏或失准带来的重新测量、放点费用及由此带来的其他损失，由承包人承担。</w:t>
      </w:r>
    </w:p>
    <w:p>
      <w:pPr>
        <w:tabs>
          <w:tab w:val="left" w:pos="840"/>
        </w:tabs>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3.1.10.3</w:t>
      </w:r>
      <w:r>
        <w:rPr>
          <w:rFonts w:hint="eastAsia" w:eastAsia="仿宋_GB2312"/>
          <w:color w:val="000000" w:themeColor="text1"/>
          <w:sz w:val="30"/>
          <w:szCs w:val="32"/>
          <w:u w:val="single"/>
          <w14:textFill>
            <w14:solidFill>
              <w14:schemeClr w14:val="tx1"/>
            </w14:solidFill>
          </w14:textFill>
        </w:rPr>
        <w:t>已竣工工程未交付发包人之前，承包人负责已完工程的保护工作，保护期间发生损坏，承包人自费予以修复。</w:t>
      </w:r>
    </w:p>
    <w:p>
      <w:pPr>
        <w:tabs>
          <w:tab w:val="left" w:pos="840"/>
        </w:tabs>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3.1.10.4</w:t>
      </w:r>
      <w:r>
        <w:rPr>
          <w:rFonts w:hint="eastAsia" w:eastAsia="仿宋_GB2312"/>
          <w:color w:val="000000" w:themeColor="text1"/>
          <w:sz w:val="30"/>
          <w:szCs w:val="32"/>
          <w:u w:val="single"/>
          <w14:textFill>
            <w14:solidFill>
              <w14:schemeClr w14:val="tx1"/>
            </w14:solidFill>
          </w14:textFill>
        </w:rPr>
        <w:t>工程竣工后，承包人应按照发包人要求清理所有的临时性工程场地和临时道路，并恢复原状。</w:t>
      </w:r>
    </w:p>
    <w:p>
      <w:pPr>
        <w:tabs>
          <w:tab w:val="left" w:pos="840"/>
        </w:tabs>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3.1.10.5</w:t>
      </w:r>
      <w:r>
        <w:rPr>
          <w:rFonts w:hint="eastAsia" w:eastAsia="仿宋_GB2312"/>
          <w:color w:val="000000" w:themeColor="text1"/>
          <w:sz w:val="30"/>
          <w:szCs w:val="32"/>
          <w:u w:val="single"/>
          <w14:textFill>
            <w14:solidFill>
              <w14:schemeClr w14:val="tx1"/>
            </w14:solidFill>
          </w14:textFill>
        </w:rPr>
        <w:t>承包人负责做好施工现场周围建筑物、构筑物和地下管线、文物及花木的保护，由于承包人原因导致现场周围建筑物、构筑物和地下管线、文物及花木被破坏的，所造成的损失由承包人承担。</w:t>
      </w:r>
    </w:p>
    <w:p>
      <w:pPr>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3.1.10.6</w:t>
      </w:r>
      <w:r>
        <w:rPr>
          <w:rFonts w:hint="eastAsia" w:eastAsia="仿宋_GB2312"/>
          <w:color w:val="000000" w:themeColor="text1"/>
          <w:sz w:val="30"/>
          <w:szCs w:val="32"/>
          <w:u w:val="single"/>
          <w14:textFill>
            <w14:solidFill>
              <w14:schemeClr w14:val="tx1"/>
            </w14:solidFill>
          </w14:textFill>
        </w:rPr>
        <w:t>压力管道、压力容器、特种设备及安全阀等的安装施工，承包人必须确保其通过国家质量监督部门及行业主管部门的检验验收，因此产生的费用由承包方承担。</w:t>
      </w:r>
    </w:p>
    <w:p>
      <w:pPr>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3.1.10.7</w:t>
      </w:r>
      <w:r>
        <w:rPr>
          <w:rFonts w:hint="eastAsia" w:eastAsia="仿宋_GB2312"/>
          <w:color w:val="000000" w:themeColor="text1"/>
          <w:sz w:val="30"/>
          <w:szCs w:val="32"/>
          <w:u w:val="single"/>
          <w14:textFill>
            <w14:solidFill>
              <w14:schemeClr w14:val="tx1"/>
            </w14:solidFill>
          </w14:textFill>
        </w:rPr>
        <w:t>承包人应当在危大工程施工前组织编制专项方案，对于超过一定规模的危大工程，承包人应当组织召开专家论证会对专项施工方案进行论证。</w:t>
      </w:r>
    </w:p>
    <w:p>
      <w:pPr>
        <w:spacing w:line="360" w:lineRule="auto"/>
        <w:ind w:left="17" w:leftChars="8" w:firstLine="618" w:firstLineChars="206"/>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3.1.10.8</w:t>
      </w:r>
      <w:r>
        <w:rPr>
          <w:rFonts w:hint="eastAsia" w:eastAsia="仿宋_GB2312"/>
          <w:color w:val="000000" w:themeColor="text1"/>
          <w:sz w:val="30"/>
          <w:szCs w:val="32"/>
          <w:u w:val="single"/>
          <w14:textFill>
            <w14:solidFill>
              <w14:schemeClr w14:val="tx1"/>
            </w14:solidFill>
          </w14:textFill>
        </w:rPr>
        <w:t>由于后期工程（公建、管网、景观、绿化、道路等）施工造成的临时设施搬迁重建费及材料的二次倒运费已在措施费中包括，结算时不再调整。</w:t>
      </w:r>
    </w:p>
    <w:p>
      <w:pPr>
        <w:spacing w:after="156"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u w:val="single"/>
          <w14:textFill>
            <w14:solidFill>
              <w14:schemeClr w14:val="tx1"/>
            </w14:solidFill>
          </w14:textFill>
        </w:rPr>
        <w:t>3.1.10.9</w:t>
      </w:r>
      <w:r>
        <w:rPr>
          <w:rFonts w:hint="eastAsia" w:eastAsia="仿宋_GB2312"/>
          <w:color w:val="000000" w:themeColor="text1"/>
          <w:sz w:val="30"/>
          <w:szCs w:val="32"/>
          <w:u w:val="single"/>
          <w14:textFill>
            <w14:solidFill>
              <w14:schemeClr w14:val="tx1"/>
            </w14:solidFill>
          </w14:textFill>
        </w:rPr>
        <w:t>承包人应及时缴纳按政府规定由承包人承担的有关费用、税项等，提供相关资料文件及协助发包人办理工程政府建设手续，负责办理质监竣工验收、消防验收、建筑节能验收、</w:t>
      </w:r>
      <w:r>
        <w:rPr>
          <w:rFonts w:hint="eastAsia" w:eastAsia="仿宋_GB2312"/>
          <w:sz w:val="30"/>
          <w:szCs w:val="32"/>
          <w:u w:val="single"/>
        </w:rPr>
        <w:t>海绵城市验收、市政供水供电供气验收、</w:t>
      </w:r>
      <w:r>
        <w:rPr>
          <w:rFonts w:hint="eastAsia" w:eastAsia="仿宋_GB2312"/>
          <w:color w:val="000000" w:themeColor="text1"/>
          <w:sz w:val="30"/>
          <w:szCs w:val="32"/>
          <w:u w:val="single"/>
          <w14:textFill>
            <w14:solidFill>
              <w14:schemeClr w14:val="tx1"/>
            </w14:solidFill>
          </w14:textFill>
        </w:rPr>
        <w:t>城建档案验收</w:t>
      </w:r>
      <w:r>
        <w:rPr>
          <w:rFonts w:hint="eastAsia" w:eastAsia="仿宋_GB2312"/>
          <w:color w:val="000000" w:themeColor="text1"/>
          <w:sz w:val="30"/>
          <w:szCs w:val="32"/>
          <w:u w:val="single"/>
          <w:lang w:bidi="ar"/>
          <w14:textFill>
            <w14:solidFill>
              <w14:schemeClr w14:val="tx1"/>
            </w14:solidFill>
          </w14:textFill>
        </w:rPr>
        <w:t>（发包人资料由发包人负责提供，承包人负责妥善保管、一并归档办理档案验收</w:t>
      </w:r>
      <w:r>
        <w:rPr>
          <w:rFonts w:hint="eastAsia" w:eastAsia="仿宋_GB2312"/>
          <w:color w:val="000000" w:themeColor="text1"/>
          <w:sz w:val="30"/>
          <w:szCs w:val="32"/>
          <w:u w:val="single"/>
          <w14:textFill>
            <w14:solidFill>
              <w14:schemeClr w14:val="tx1"/>
            </w14:solidFill>
          </w14:textFill>
        </w:rPr>
        <w:t>），协助办理规划、环保及工程竣工结算备案、竣工验收备案等工作。</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3.2 </w:t>
      </w:r>
      <w:r>
        <w:rPr>
          <w:rFonts w:hint="eastAsia" w:eastAsia="黑体"/>
          <w:color w:val="000000" w:themeColor="text1"/>
          <w:sz w:val="30"/>
          <w:szCs w:val="32"/>
          <w14:textFill>
            <w14:solidFill>
              <w14:schemeClr w14:val="tx1"/>
            </w14:solidFill>
          </w14:textFill>
        </w:rPr>
        <w:t>项目经理</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3.2.1 </w:t>
      </w:r>
      <w:r>
        <w:rPr>
          <w:rFonts w:hint="eastAsia" w:eastAsia="仿宋_GB2312"/>
          <w:color w:val="000000" w:themeColor="text1"/>
          <w:sz w:val="30"/>
          <w:szCs w:val="32"/>
          <w14:textFill>
            <w14:solidFill>
              <w14:schemeClr w14:val="tx1"/>
            </w14:solidFill>
          </w14:textFill>
        </w:rPr>
        <w:t>项目经理：</w:t>
      </w:r>
      <w:r>
        <w:rPr>
          <w:rFonts w:hint="eastAsia"/>
          <w:i/>
          <w:color w:val="000000" w:themeColor="text1"/>
          <w:sz w:val="30"/>
          <w:u w:val="single"/>
          <w14:textFill>
            <w14:solidFill>
              <w14:schemeClr w14:val="tx1"/>
            </w14:solidFill>
          </w14:textFill>
        </w:rPr>
        <w:t>（按投标文件填写）</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姓</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名：</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身份证号：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建造师执业资格等级：</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建造师注册证书号：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建造师执业印章号：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安全生产考核合格证书号：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联系电话：</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电子信箱：</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通信地址：</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承包人对项目经理的授权范围如下：</w:t>
      </w:r>
      <w:r>
        <w:rPr>
          <w:rFonts w:hint="eastAsia" w:eastAsia="仿宋_GB2312"/>
          <w:color w:val="000000" w:themeColor="text1"/>
          <w:sz w:val="30"/>
          <w:szCs w:val="32"/>
          <w:u w:val="single"/>
          <w14:textFill>
            <w14:solidFill>
              <w14:schemeClr w14:val="tx1"/>
            </w14:solidFill>
          </w14:textFill>
        </w:rPr>
        <w:t>代表承包人负责履行合同，直接负责本工程施工中的各项工作。</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关于项目经理每月在施工现场的时间要求：</w:t>
      </w:r>
      <w:r>
        <w:rPr>
          <w:rFonts w:hint="eastAsia" w:eastAsia="仿宋_GB2312"/>
          <w:color w:val="000000" w:themeColor="text1"/>
          <w:sz w:val="30"/>
          <w:szCs w:val="32"/>
          <w:u w:val="single"/>
          <w14:textFill>
            <w14:solidFill>
              <w14:schemeClr w14:val="tx1"/>
            </w14:solidFill>
          </w14:textFill>
        </w:rPr>
        <w:t>每月不少于</w:t>
      </w:r>
      <w:r>
        <w:rPr>
          <w:rFonts w:eastAsia="仿宋_GB2312"/>
          <w:color w:val="000000" w:themeColor="text1"/>
          <w:sz w:val="30"/>
          <w:szCs w:val="32"/>
          <w:u w:val="single"/>
          <w14:textFill>
            <w14:solidFill>
              <w14:schemeClr w14:val="tx1"/>
            </w14:solidFill>
          </w14:textFill>
        </w:rPr>
        <w:t>25</w:t>
      </w:r>
      <w:r>
        <w:rPr>
          <w:rFonts w:hint="eastAsia" w:eastAsia="仿宋_GB2312"/>
          <w:color w:val="000000" w:themeColor="text1"/>
          <w:sz w:val="30"/>
          <w:szCs w:val="32"/>
          <w:u w:val="single"/>
          <w14:textFill>
            <w14:solidFill>
              <w14:schemeClr w14:val="tx1"/>
            </w14:solidFill>
          </w14:textFill>
        </w:rPr>
        <w:t>日历天，每少一天，向发包人支付10000元/天的违约金，如遇特殊事项须向发包人代表请假，经批准后可无需支付违约金。</w:t>
      </w:r>
    </w:p>
    <w:p>
      <w:pPr>
        <w:spacing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承包人未提交劳动合同，以及没有为项目经理缴纳社会保险证明的违约责任：</w:t>
      </w:r>
      <w:r>
        <w:rPr>
          <w:rFonts w:hint="eastAsia" w:eastAsia="仿宋_GB2312"/>
          <w:color w:val="000000" w:themeColor="text1"/>
          <w:sz w:val="30"/>
          <w:szCs w:val="32"/>
          <w:u w:val="single"/>
          <w14:textFill>
            <w14:solidFill>
              <w14:schemeClr w14:val="tx1"/>
            </w14:solidFill>
          </w14:textFill>
        </w:rPr>
        <w:t>向发包人支付合同最终结算价的千分之</w:t>
      </w:r>
      <w:r>
        <w:rPr>
          <w:rFonts w:hint="eastAsia"/>
          <w:color w:val="000000" w:themeColor="text1"/>
          <w:sz w:val="30"/>
          <w:u w:val="single"/>
          <w14:textFill>
            <w14:solidFill>
              <w14:schemeClr w14:val="tx1"/>
            </w14:solidFill>
          </w14:textFill>
        </w:rPr>
        <w:t>一</w:t>
      </w:r>
      <w:r>
        <w:rPr>
          <w:rFonts w:hint="eastAsia" w:eastAsia="仿宋_GB2312"/>
          <w:color w:val="000000" w:themeColor="text1"/>
          <w:sz w:val="30"/>
          <w:szCs w:val="32"/>
          <w:u w:val="single"/>
          <w14:textFill>
            <w14:solidFill>
              <w14:schemeClr w14:val="tx1"/>
            </w14:solidFill>
          </w14:textFill>
        </w:rPr>
        <w:t>的违约金，没有最终结算价的，按签约暂定价的千分之</w:t>
      </w:r>
      <w:r>
        <w:rPr>
          <w:rFonts w:hint="eastAsia"/>
          <w:color w:val="000000" w:themeColor="text1"/>
          <w:sz w:val="30"/>
          <w:u w:val="single"/>
          <w14:textFill>
            <w14:solidFill>
              <w14:schemeClr w14:val="tx1"/>
            </w14:solidFill>
          </w14:textFill>
        </w:rPr>
        <w:t>一</w:t>
      </w:r>
      <w:r>
        <w:rPr>
          <w:rFonts w:hint="eastAsia" w:eastAsia="仿宋_GB2312"/>
          <w:color w:val="000000" w:themeColor="text1"/>
          <w:sz w:val="30"/>
          <w:szCs w:val="32"/>
          <w:u w:val="single"/>
          <w14:textFill>
            <w14:solidFill>
              <w14:schemeClr w14:val="tx1"/>
            </w14:solidFill>
          </w14:textFill>
        </w:rPr>
        <w:t>计算</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项目经理未经批准，擅自离开施工现场的违约责任：</w:t>
      </w:r>
      <w:r>
        <w:rPr>
          <w:rFonts w:hint="eastAsia" w:eastAsia="仿宋_GB2312"/>
          <w:color w:val="000000" w:themeColor="text1"/>
          <w:sz w:val="30"/>
          <w:szCs w:val="32"/>
          <w:u w:val="single"/>
          <w14:textFill>
            <w14:solidFill>
              <w14:schemeClr w14:val="tx1"/>
            </w14:solidFill>
          </w14:textFill>
        </w:rPr>
        <w:t>每出现</w:t>
      </w:r>
      <w:r>
        <w:rPr>
          <w:rFonts w:eastAsia="仿宋_GB2312"/>
          <w:color w:val="000000" w:themeColor="text1"/>
          <w:sz w:val="30"/>
          <w:szCs w:val="32"/>
          <w:u w:val="single"/>
          <w14:textFill>
            <w14:solidFill>
              <w14:schemeClr w14:val="tx1"/>
            </w14:solidFill>
          </w14:textFill>
        </w:rPr>
        <w:t>1</w:t>
      </w:r>
      <w:r>
        <w:rPr>
          <w:rFonts w:hint="eastAsia" w:eastAsia="仿宋_GB2312"/>
          <w:color w:val="000000" w:themeColor="text1"/>
          <w:sz w:val="30"/>
          <w:szCs w:val="32"/>
          <w:u w:val="single"/>
          <w14:textFill>
            <w14:solidFill>
              <w14:schemeClr w14:val="tx1"/>
            </w14:solidFill>
          </w14:textFill>
        </w:rPr>
        <w:t>次向发包人支付</w:t>
      </w:r>
      <w:r>
        <w:rPr>
          <w:rFonts w:eastAsia="仿宋_GB2312"/>
          <w:color w:val="000000" w:themeColor="text1"/>
          <w:sz w:val="30"/>
          <w:szCs w:val="32"/>
          <w:u w:val="single"/>
          <w14:textFill>
            <w14:solidFill>
              <w14:schemeClr w14:val="tx1"/>
            </w14:solidFill>
          </w14:textFill>
        </w:rPr>
        <w:t>2000</w:t>
      </w:r>
      <w:r>
        <w:rPr>
          <w:rFonts w:hint="eastAsia" w:eastAsia="仿宋_GB2312"/>
          <w:color w:val="000000" w:themeColor="text1"/>
          <w:sz w:val="30"/>
          <w:szCs w:val="32"/>
          <w:u w:val="single"/>
          <w14:textFill>
            <w14:solidFill>
              <w14:schemeClr w14:val="tx1"/>
            </w14:solidFill>
          </w14:textFill>
        </w:rPr>
        <w:t>元违约金，以上违约金额累计金额超过合同签约暂定价百分之十的，视为承包人严重违约，发包人有权与承包人解除合同，承包人将承担由此给发包人带来的一切经济损失。</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3.2.3 </w:t>
      </w:r>
      <w:r>
        <w:rPr>
          <w:rFonts w:hint="eastAsia" w:eastAsia="仿宋_GB2312"/>
          <w:color w:val="000000" w:themeColor="text1"/>
          <w:sz w:val="30"/>
          <w:szCs w:val="32"/>
          <w14:textFill>
            <w14:solidFill>
              <w14:schemeClr w14:val="tx1"/>
            </w14:solidFill>
          </w14:textFill>
        </w:rPr>
        <w:t>承包人擅自更换项目经理的违约责任：</w:t>
      </w:r>
      <w:r>
        <w:rPr>
          <w:rFonts w:hint="eastAsia" w:eastAsia="仿宋_GB2312"/>
          <w:color w:val="000000" w:themeColor="text1"/>
          <w:sz w:val="30"/>
          <w:szCs w:val="32"/>
          <w:u w:val="single"/>
          <w14:textFill>
            <w14:solidFill>
              <w14:schemeClr w14:val="tx1"/>
            </w14:solidFill>
          </w14:textFill>
        </w:rPr>
        <w:t>向发包人支付最终结算价的千分之五的违约金，没有最终结算价的，按签约暂定价的千分之五计算并按发包人要求换回或者履行变更手续，并应承担由此给发包人带来的一切经济损失</w:t>
      </w:r>
      <w:r>
        <w:rPr>
          <w:rFonts w:hint="eastAsia" w:eastAsia="仿宋_GB2312"/>
          <w:color w:val="000000" w:themeColor="text1"/>
          <w:sz w:val="30"/>
          <w:szCs w:val="32"/>
          <w14:textFill>
            <w14:solidFill>
              <w14:schemeClr w14:val="tx1"/>
            </w14:solidFill>
          </w14:textFill>
        </w:rPr>
        <w:t>。</w:t>
      </w:r>
    </w:p>
    <w:p>
      <w:pPr>
        <w:spacing w:line="360" w:lineRule="auto"/>
        <w:ind w:firstLine="600"/>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3.2.4 </w:t>
      </w:r>
      <w:r>
        <w:rPr>
          <w:rFonts w:hint="eastAsia" w:eastAsia="仿宋_GB2312"/>
          <w:color w:val="000000" w:themeColor="text1"/>
          <w:sz w:val="30"/>
          <w:szCs w:val="32"/>
          <w14:textFill>
            <w14:solidFill>
              <w14:schemeClr w14:val="tx1"/>
            </w14:solidFill>
          </w14:textFill>
        </w:rPr>
        <w:t>承包人无正当理由拒绝更换项目经理的违约责任：</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承包人未按发包人要求更换项目经理，每逾期一天向发包人支付违约金</w:t>
      </w:r>
      <w:r>
        <w:rPr>
          <w:rFonts w:eastAsia="仿宋_GB2312"/>
          <w:color w:val="000000" w:themeColor="text1"/>
          <w:sz w:val="30"/>
          <w:szCs w:val="32"/>
          <w:u w:val="single"/>
          <w14:textFill>
            <w14:solidFill>
              <w14:schemeClr w14:val="tx1"/>
            </w14:solidFill>
          </w14:textFill>
        </w:rPr>
        <w:t>10000</w:t>
      </w:r>
      <w:r>
        <w:rPr>
          <w:rFonts w:hint="eastAsia" w:eastAsia="仿宋_GB2312"/>
          <w:color w:val="000000" w:themeColor="text1"/>
          <w:sz w:val="30"/>
          <w:szCs w:val="32"/>
          <w:u w:val="single"/>
          <w14:textFill>
            <w14:solidFill>
              <w14:schemeClr w14:val="tx1"/>
            </w14:solidFill>
          </w14:textFill>
        </w:rPr>
        <w:t>元，此违约金额累计超过合同签约暂定价百分之十的，视为承包人严重违约，同时发包人有权解除合同，承包人还应承担由此给发包人带来的一切经济损失。</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3.3 </w:t>
      </w:r>
      <w:r>
        <w:rPr>
          <w:rFonts w:hint="eastAsia" w:eastAsia="黑体"/>
          <w:color w:val="000000" w:themeColor="text1"/>
          <w:sz w:val="30"/>
          <w:szCs w:val="32"/>
          <w14:textFill>
            <w14:solidFill>
              <w14:schemeClr w14:val="tx1"/>
            </w14:solidFill>
          </w14:textFill>
        </w:rPr>
        <w:t>承包人人员</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3.3.1</w:t>
      </w:r>
      <w:r>
        <w:rPr>
          <w:rFonts w:hint="eastAsia" w:eastAsia="仿宋_GB2312"/>
          <w:color w:val="000000" w:themeColor="text1"/>
          <w:sz w:val="30"/>
          <w:szCs w:val="32"/>
          <w14:textFill>
            <w14:solidFill>
              <w14:schemeClr w14:val="tx1"/>
            </w14:solidFill>
          </w14:textFill>
        </w:rPr>
        <w:t>承包人提交项目管理机构及施工现场管理人员安排报告的期限：</w:t>
      </w:r>
      <w:r>
        <w:rPr>
          <w:rFonts w:hint="eastAsia" w:eastAsia="仿宋_GB2312"/>
          <w:color w:val="000000" w:themeColor="text1"/>
          <w:sz w:val="30"/>
          <w:szCs w:val="32"/>
          <w:u w:val="single"/>
          <w14:textFill>
            <w14:solidFill>
              <w14:schemeClr w14:val="tx1"/>
            </w14:solidFill>
          </w14:textFill>
        </w:rPr>
        <w:t>不迟于开工通知中载明的开工日期前</w:t>
      </w:r>
      <w:r>
        <w:rPr>
          <w:rFonts w:eastAsia="仿宋_GB2312"/>
          <w:color w:val="000000" w:themeColor="text1"/>
          <w:sz w:val="30"/>
          <w:szCs w:val="32"/>
          <w:u w:val="single"/>
          <w14:textFill>
            <w14:solidFill>
              <w14:schemeClr w14:val="tx1"/>
            </w14:solidFill>
          </w14:textFill>
        </w:rPr>
        <w:t>7</w:t>
      </w:r>
      <w:r>
        <w:rPr>
          <w:rFonts w:hint="eastAsia" w:eastAsia="仿宋_GB2312"/>
          <w:color w:val="000000" w:themeColor="text1"/>
          <w:sz w:val="30"/>
          <w:szCs w:val="32"/>
          <w:u w:val="single"/>
          <w14:textFill>
            <w14:solidFill>
              <w14:schemeClr w14:val="tx1"/>
            </w14:solidFill>
          </w14:textFill>
        </w:rPr>
        <w:t>天内，按照投标文件项目管理人员配备提供。</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3.3.3</w:t>
      </w:r>
      <w:r>
        <w:rPr>
          <w:rFonts w:hint="eastAsia" w:eastAsia="仿宋_GB2312"/>
          <w:color w:val="000000" w:themeColor="text1"/>
          <w:sz w:val="30"/>
          <w:szCs w:val="32"/>
          <w14:textFill>
            <w14:solidFill>
              <w14:schemeClr w14:val="tx1"/>
            </w14:solidFill>
          </w14:textFill>
        </w:rPr>
        <w:t>承包人无正当理由拒绝撤换主要施工管理人员的违约责任：</w:t>
      </w:r>
      <w:r>
        <w:rPr>
          <w:rFonts w:hint="eastAsia" w:eastAsia="仿宋_GB2312"/>
          <w:color w:val="000000" w:themeColor="text1"/>
          <w:sz w:val="30"/>
          <w:szCs w:val="32"/>
          <w:u w:val="single"/>
          <w14:textFill>
            <w14:solidFill>
              <w14:schemeClr w14:val="tx1"/>
            </w14:solidFill>
          </w14:textFill>
        </w:rPr>
        <w:t>每逾期一天，按</w:t>
      </w:r>
      <w:r>
        <w:rPr>
          <w:rFonts w:eastAsia="仿宋_GB2312"/>
          <w:color w:val="000000" w:themeColor="text1"/>
          <w:sz w:val="30"/>
          <w:szCs w:val="32"/>
          <w:u w:val="single"/>
          <w14:textFill>
            <w14:solidFill>
              <w14:schemeClr w14:val="tx1"/>
            </w14:solidFill>
          </w14:textFill>
        </w:rPr>
        <w:t>5000</w:t>
      </w:r>
      <w:r>
        <w:rPr>
          <w:rFonts w:hint="eastAsia" w:eastAsia="仿宋_GB2312"/>
          <w:color w:val="000000" w:themeColor="text1"/>
          <w:sz w:val="30"/>
          <w:szCs w:val="32"/>
          <w:u w:val="single"/>
          <w14:textFill>
            <w14:solidFill>
              <w14:schemeClr w14:val="tx1"/>
            </w14:solidFill>
          </w14:textFill>
        </w:rPr>
        <w:t>元</w:t>
      </w:r>
      <w:r>
        <w:rPr>
          <w:rFonts w:eastAsia="仿宋_GB2312"/>
          <w:color w:val="000000" w:themeColor="text1"/>
          <w:sz w:val="30"/>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人次向发包人支付违约金</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3.3.4</w:t>
      </w:r>
      <w:r>
        <w:rPr>
          <w:rFonts w:hint="eastAsia" w:eastAsia="仿宋_GB2312"/>
          <w:color w:val="000000" w:themeColor="text1"/>
          <w:sz w:val="30"/>
          <w:szCs w:val="32"/>
          <w14:textFill>
            <w14:solidFill>
              <w14:schemeClr w14:val="tx1"/>
            </w14:solidFill>
          </w14:textFill>
        </w:rPr>
        <w:t>承包人主要施工管理人员离开施工现场的批准要求：</w:t>
      </w:r>
      <w:r>
        <w:rPr>
          <w:rFonts w:hint="eastAsia" w:eastAsia="仿宋_GB2312"/>
          <w:color w:val="000000" w:themeColor="text1"/>
          <w:sz w:val="30"/>
          <w:szCs w:val="32"/>
          <w:u w:val="single"/>
          <w14:textFill>
            <w14:solidFill>
              <w14:schemeClr w14:val="tx1"/>
            </w14:solidFill>
          </w14:textFill>
        </w:rPr>
        <w:t>应征得发包人同意，并提供与原管理人员能力相当的接替人员代行其职责</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3.3.5</w:t>
      </w:r>
      <w:r>
        <w:rPr>
          <w:rFonts w:hint="eastAsia" w:eastAsia="仿宋_GB2312"/>
          <w:color w:val="000000" w:themeColor="text1"/>
          <w:sz w:val="30"/>
          <w:szCs w:val="32"/>
          <w14:textFill>
            <w14:solidFill>
              <w14:schemeClr w14:val="tx1"/>
            </w14:solidFill>
          </w14:textFill>
        </w:rPr>
        <w:t>承包人擅自更换主要施工管理人员的违约责任：</w:t>
      </w:r>
      <w:r>
        <w:rPr>
          <w:rFonts w:hint="eastAsia" w:eastAsia="仿宋_GB2312"/>
          <w:color w:val="000000" w:themeColor="text1"/>
          <w:sz w:val="30"/>
          <w:szCs w:val="32"/>
          <w:u w:val="single"/>
          <w14:textFill>
            <w14:solidFill>
              <w14:schemeClr w14:val="tx1"/>
            </w14:solidFill>
          </w14:textFill>
        </w:rPr>
        <w:t>按</w:t>
      </w:r>
      <w:r>
        <w:rPr>
          <w:rFonts w:eastAsia="仿宋_GB2312"/>
          <w:color w:val="000000" w:themeColor="text1"/>
          <w:sz w:val="30"/>
          <w:szCs w:val="32"/>
          <w:u w:val="single"/>
          <w14:textFill>
            <w14:solidFill>
              <w14:schemeClr w14:val="tx1"/>
            </w14:solidFill>
          </w14:textFill>
        </w:rPr>
        <w:t>10000</w:t>
      </w:r>
      <w:r>
        <w:rPr>
          <w:rFonts w:hint="eastAsia" w:eastAsia="仿宋_GB2312"/>
          <w:color w:val="000000" w:themeColor="text1"/>
          <w:sz w:val="30"/>
          <w:szCs w:val="32"/>
          <w:u w:val="single"/>
          <w14:textFill>
            <w14:solidFill>
              <w14:schemeClr w14:val="tx1"/>
            </w14:solidFill>
          </w14:textFill>
        </w:rPr>
        <w:t>元</w:t>
      </w:r>
      <w:r>
        <w:rPr>
          <w:rFonts w:eastAsia="仿宋_GB2312"/>
          <w:color w:val="000000" w:themeColor="text1"/>
          <w:sz w:val="30"/>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人次向发包人支付违约金并应按发包人要求予以换回或者履行变更手续，提供与原管理人员资质能力水平相当的人员接替</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承包人主要施工管理人员擅自离开施工现场的违约责任：</w:t>
      </w:r>
      <w:r>
        <w:rPr>
          <w:rFonts w:hint="eastAsia" w:eastAsia="仿宋_GB2312"/>
          <w:color w:val="000000" w:themeColor="text1"/>
          <w:sz w:val="30"/>
          <w:szCs w:val="32"/>
          <w:u w:val="single"/>
          <w14:textFill>
            <w14:solidFill>
              <w14:schemeClr w14:val="tx1"/>
            </w14:solidFill>
          </w14:textFill>
        </w:rPr>
        <w:t>每发生一人次，按</w:t>
      </w:r>
      <w:r>
        <w:rPr>
          <w:rFonts w:eastAsia="仿宋_GB2312"/>
          <w:color w:val="000000" w:themeColor="text1"/>
          <w:sz w:val="30"/>
          <w:szCs w:val="32"/>
          <w:u w:val="single"/>
          <w14:textFill>
            <w14:solidFill>
              <w14:schemeClr w14:val="tx1"/>
            </w14:solidFill>
          </w14:textFill>
        </w:rPr>
        <w:t>2000</w:t>
      </w:r>
      <w:r>
        <w:rPr>
          <w:rFonts w:hint="eastAsia" w:eastAsia="仿宋_GB2312"/>
          <w:color w:val="000000" w:themeColor="text1"/>
          <w:sz w:val="30"/>
          <w:szCs w:val="32"/>
          <w:u w:val="single"/>
          <w14:textFill>
            <w14:solidFill>
              <w14:schemeClr w14:val="tx1"/>
            </w14:solidFill>
          </w14:textFill>
        </w:rPr>
        <w:t>元</w:t>
      </w:r>
      <w:r>
        <w:rPr>
          <w:rFonts w:eastAsia="仿宋_GB2312"/>
          <w:color w:val="000000" w:themeColor="text1"/>
          <w:sz w:val="30"/>
          <w:szCs w:val="32"/>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人次向发包人支付违约金</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3.5 </w:t>
      </w:r>
      <w:r>
        <w:rPr>
          <w:rFonts w:hint="eastAsia" w:eastAsia="黑体"/>
          <w:color w:val="000000" w:themeColor="text1"/>
          <w:sz w:val="30"/>
          <w:szCs w:val="32"/>
          <w14:textFill>
            <w14:solidFill>
              <w14:schemeClr w14:val="tx1"/>
            </w14:solidFill>
          </w14:textFill>
        </w:rPr>
        <w:t>分包</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3.5.1 </w:t>
      </w:r>
      <w:r>
        <w:rPr>
          <w:rFonts w:hint="eastAsia" w:eastAsia="仿宋_GB2312"/>
          <w:color w:val="000000" w:themeColor="text1"/>
          <w:sz w:val="30"/>
          <w:szCs w:val="32"/>
          <w14:textFill>
            <w14:solidFill>
              <w14:schemeClr w14:val="tx1"/>
            </w14:solidFill>
          </w14:textFill>
        </w:rPr>
        <w:t>分包的一般约定</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禁止分包的工程包括：</w:t>
      </w:r>
      <w:r>
        <w:rPr>
          <w:rFonts w:hint="eastAsia" w:eastAsia="仿宋_GB2312"/>
          <w:color w:val="000000" w:themeColor="text1"/>
          <w:sz w:val="30"/>
          <w:szCs w:val="32"/>
          <w:u w:val="single"/>
          <w14:textFill>
            <w14:solidFill>
              <w14:schemeClr w14:val="tx1"/>
            </w14:solidFill>
          </w14:textFill>
        </w:rPr>
        <w:t>除本合同另有约定和经发包人书面认可外所有建安工程禁止分包</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主体结构、关键性工作的范围：</w:t>
      </w:r>
      <w:r>
        <w:rPr>
          <w:rFonts w:hint="eastAsia" w:eastAsia="仿宋_GB2312"/>
          <w:i/>
          <w:iCs/>
          <w:color w:val="000000" w:themeColor="text1"/>
          <w:sz w:val="30"/>
          <w:szCs w:val="32"/>
          <w:u w:val="single"/>
          <w14:textFill>
            <w14:solidFill>
              <w14:schemeClr w14:val="tx1"/>
            </w14:solidFill>
          </w14:textFill>
        </w:rPr>
        <w:t>/</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3.5.2</w:t>
      </w:r>
      <w:r>
        <w:rPr>
          <w:rFonts w:hint="eastAsia" w:eastAsia="仿宋_GB2312"/>
          <w:color w:val="000000" w:themeColor="text1"/>
          <w:sz w:val="30"/>
          <w:szCs w:val="32"/>
          <w14:textFill>
            <w14:solidFill>
              <w14:schemeClr w14:val="tx1"/>
            </w14:solidFill>
          </w14:textFill>
        </w:rPr>
        <w:t>分包的确定</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允许分包的专业工程包括：</w:t>
      </w:r>
      <w:r>
        <w:rPr>
          <w:rFonts w:hint="eastAsia" w:eastAsia="仿宋_GB2312"/>
          <w:i/>
          <w:iCs/>
          <w:color w:val="000000" w:themeColor="text1"/>
          <w:sz w:val="30"/>
          <w:szCs w:val="32"/>
          <w:u w:val="single"/>
          <w14:textFill>
            <w14:solidFill>
              <w14:schemeClr w14:val="tx1"/>
            </w14:solidFill>
          </w14:textFill>
        </w:rPr>
        <w:t>/</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其他关于分包的约定：</w:t>
      </w:r>
      <w:r>
        <w:rPr>
          <w:rFonts w:hint="eastAsia" w:ascii="仿宋_GB2312" w:hAnsi="仿宋_GB2312" w:eastAsia="仿宋_GB2312" w:cs="仿宋_GB2312"/>
          <w:color w:val="000000" w:themeColor="text1"/>
          <w:sz w:val="30"/>
          <w:szCs w:val="32"/>
          <w:u w:val="single"/>
          <w14:textFill>
            <w14:solidFill>
              <w14:schemeClr w14:val="tx1"/>
            </w14:solidFill>
          </w14:textFill>
        </w:rPr>
        <w:t>发包人有权自行将承包人承包范围内的部分工作交由指定的分包人进行实施，承包人不得因此提出任何异议或者要求任何形式的补偿，并承担总包管理责任</w:t>
      </w:r>
      <w:r>
        <w:rPr>
          <w:rFonts w:hint="eastAsia" w:ascii="仿宋_GB2312" w:hAnsi="仿宋_GB2312" w:eastAsia="仿宋_GB2312" w:cs="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3.5.4</w:t>
      </w:r>
      <w:r>
        <w:rPr>
          <w:rFonts w:hint="eastAsia" w:eastAsia="仿宋_GB2312"/>
          <w:color w:val="000000" w:themeColor="text1"/>
          <w:sz w:val="30"/>
          <w:szCs w:val="32"/>
          <w14:textFill>
            <w14:solidFill>
              <w14:schemeClr w14:val="tx1"/>
            </w14:solidFill>
          </w14:textFill>
        </w:rPr>
        <w:t>分包合同价款</w:t>
      </w:r>
    </w:p>
    <w:p>
      <w:pPr>
        <w:ind w:firstLine="600" w:firstLineChars="200"/>
        <w:rPr>
          <w:rFonts w:ascii="仿宋_GB2312" w:hAnsi="仿宋_GB2312" w:eastAsia="仿宋_GB2312" w:cs="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关于分包合同价款支付的约定：</w:t>
      </w:r>
      <w:r>
        <w:rPr>
          <w:rFonts w:hint="eastAsia" w:ascii="仿宋_GB2312" w:hAnsi="仿宋_GB2312" w:eastAsia="仿宋_GB2312" w:cs="仿宋_GB2312"/>
          <w:color w:val="000000" w:themeColor="text1"/>
          <w:sz w:val="30"/>
          <w:szCs w:val="32"/>
          <w:u w:val="single"/>
          <w14:textFill>
            <w14:solidFill>
              <w14:schemeClr w14:val="tx1"/>
            </w14:solidFill>
          </w14:textFill>
        </w:rPr>
        <w:t>若因承包人支付劳务分包人、材料设备供货商等工程款不及时造成上访、围堵等不良影响的，发包人有权直接向劳务分包人、供货商支付工程款，承包人应就该款项向发包人开具合法有效的正式发票，并应自行解决与劳务分包人、供货商的财务及发票处理问题，同时承包人应承担该款项双倍的违约金，并承担对发包人造成的一切损失。</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3.6 </w:t>
      </w:r>
      <w:r>
        <w:rPr>
          <w:rFonts w:hint="eastAsia" w:eastAsia="黑体"/>
          <w:color w:val="000000" w:themeColor="text1"/>
          <w:sz w:val="30"/>
          <w:szCs w:val="32"/>
          <w14:textFill>
            <w14:solidFill>
              <w14:schemeClr w14:val="tx1"/>
            </w14:solidFill>
          </w14:textFill>
        </w:rPr>
        <w:t>工程照管与成品、半成品保护</w:t>
      </w:r>
    </w:p>
    <w:p>
      <w:pPr>
        <w:spacing w:before="156" w:after="156" w:line="360" w:lineRule="auto"/>
        <w:ind w:firstLine="600" w:firstLineChars="200"/>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承包人负责照管工程及工程相关的材料、工程设备的起始时间：</w:t>
      </w:r>
      <w:r>
        <w:rPr>
          <w:rFonts w:hint="eastAsia" w:ascii="Arial" w:hAnsi="Arial" w:eastAsia="仿宋_GB2312" w:cs="Arial"/>
          <w:color w:val="000000" w:themeColor="text1"/>
          <w:kern w:val="0"/>
          <w:sz w:val="30"/>
          <w:szCs w:val="32"/>
          <w:u w:val="single"/>
          <w14:textFill>
            <w14:solidFill>
              <w14:schemeClr w14:val="tx1"/>
            </w14:solidFill>
          </w14:textFill>
        </w:rPr>
        <w:t>执行《通用合同条款》</w:t>
      </w:r>
      <w:r>
        <w:rPr>
          <w:rFonts w:hint="eastAsia" w:eastAsia="仿宋_GB2312"/>
          <w:color w:val="000000" w:themeColor="text1"/>
          <w:kern w:val="0"/>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3.7 </w:t>
      </w:r>
      <w:r>
        <w:rPr>
          <w:rFonts w:hint="eastAsia" w:eastAsia="黑体"/>
          <w:color w:val="000000" w:themeColor="text1"/>
          <w:sz w:val="30"/>
          <w:szCs w:val="32"/>
          <w14:textFill>
            <w14:solidFill>
              <w14:schemeClr w14:val="tx1"/>
            </w14:solidFill>
          </w14:textFill>
        </w:rPr>
        <w:t>履约担保</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承包人是否提供履约担保：</w:t>
      </w:r>
      <w:r>
        <w:rPr>
          <w:rFonts w:hint="eastAsia" w:eastAsia="仿宋_GB2312"/>
          <w:color w:val="000000" w:themeColor="text1"/>
          <w:sz w:val="30"/>
          <w:szCs w:val="32"/>
          <w:u w:val="single"/>
          <w14:textFill>
            <w14:solidFill>
              <w14:schemeClr w14:val="tx1"/>
            </w14:solidFill>
          </w14:textFill>
        </w:rPr>
        <w:t>是</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承包人提供履约担保的形式、金额及期限的：</w:t>
      </w:r>
    </w:p>
    <w:p>
      <w:pPr>
        <w:numPr>
          <w:ilvl w:val="0"/>
          <w:numId w:val="10"/>
        </w:numPr>
        <w:spacing w:line="360" w:lineRule="auto"/>
        <w:ind w:left="0"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形式：</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sz w:val="30"/>
          <w:szCs w:val="32"/>
          <w:u w:val="single"/>
        </w:rPr>
        <w:t>承包人的投标保证金自动转为履约保证金，待竣工验收后根据履约情况予以退还。</w:t>
      </w:r>
    </w:p>
    <w:p>
      <w:pPr>
        <w:numPr>
          <w:ilvl w:val="0"/>
          <w:numId w:val="10"/>
        </w:numPr>
        <w:spacing w:line="360" w:lineRule="auto"/>
        <w:ind w:left="0"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金额：</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sz w:val="30"/>
          <w:szCs w:val="32"/>
          <w:u w:val="single"/>
        </w:rPr>
        <w:t>同投标保证</w:t>
      </w:r>
      <w:r>
        <w:rPr>
          <w:rFonts w:hint="eastAsia"/>
          <w:sz w:val="30"/>
          <w:u w:val="single"/>
        </w:rPr>
        <w:t>金</w:t>
      </w:r>
      <w:r>
        <w:rPr>
          <w:rFonts w:hint="eastAsia" w:eastAsia="仿宋_GB2312"/>
          <w:i/>
          <w:iCs/>
          <w:color w:val="000000" w:themeColor="text1"/>
          <w:sz w:val="30"/>
          <w:szCs w:val="32"/>
          <w:u w:val="single"/>
          <w14:textFill>
            <w14:solidFill>
              <w14:schemeClr w14:val="tx1"/>
            </w14:solidFill>
          </w14:textFill>
        </w:rPr>
        <w:t>。</w:t>
      </w:r>
    </w:p>
    <w:p>
      <w:pPr>
        <w:pStyle w:val="8"/>
      </w:pPr>
      <w:r>
        <w:t xml:space="preserve">4. </w:t>
      </w:r>
      <w:r>
        <w:rPr>
          <w:rFonts w:hint="eastAsia"/>
        </w:rPr>
        <w:t>监理人</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4.1</w:t>
      </w:r>
      <w:r>
        <w:rPr>
          <w:rFonts w:hint="eastAsia" w:eastAsia="黑体"/>
          <w:color w:val="000000" w:themeColor="text1"/>
          <w:sz w:val="30"/>
          <w:szCs w:val="32"/>
          <w14:textFill>
            <w14:solidFill>
              <w14:schemeClr w14:val="tx1"/>
            </w14:solidFill>
          </w14:textFill>
        </w:rPr>
        <w:t>监理人的一般规定</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关于监理人的监理内容：</w:t>
      </w:r>
      <w:r>
        <w:rPr>
          <w:rFonts w:hint="eastAsia" w:eastAsia="仿宋_GB2312"/>
          <w:color w:val="000000" w:themeColor="text1"/>
          <w:sz w:val="30"/>
          <w:szCs w:val="32"/>
          <w:u w:val="single"/>
          <w14:textFill>
            <w14:solidFill>
              <w14:schemeClr w14:val="tx1"/>
            </w14:solidFill>
          </w14:textFill>
        </w:rPr>
        <w:t>合同约定范围内的所有建设工程内容</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关于监理人的监理权限：</w:t>
      </w:r>
      <w:r>
        <w:rPr>
          <w:rFonts w:hint="eastAsia" w:eastAsia="仿宋_GB2312"/>
          <w:color w:val="000000" w:themeColor="text1"/>
          <w:sz w:val="30"/>
          <w:szCs w:val="32"/>
          <w:u w:val="single"/>
          <w14:textFill>
            <w14:solidFill>
              <w14:schemeClr w14:val="tx1"/>
            </w14:solidFill>
          </w14:textFill>
        </w:rPr>
        <w:t>行使监理合同授予的权限</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ascii="仿宋_GB2312" w:hAnsi="仿宋_GB2312" w:eastAsia="仿宋_GB2312" w:cs="仿宋_GB2312"/>
          <w:color w:val="000000" w:themeColor="text1"/>
          <w:sz w:val="30"/>
          <w:szCs w:val="32"/>
          <w:u w:val="single"/>
          <w14:textFill>
            <w14:solidFill>
              <w14:schemeClr w14:val="tx1"/>
            </w14:solidFill>
          </w14:textFill>
        </w:rPr>
      </w:pPr>
      <w:r>
        <w:rPr>
          <w:rFonts w:hint="eastAsia" w:ascii="仿宋_GB2312" w:hAnsi="仿宋_GB2312" w:eastAsia="仿宋_GB2312" w:cs="仿宋_GB2312"/>
          <w:color w:val="000000" w:themeColor="text1"/>
          <w:sz w:val="30"/>
          <w:szCs w:val="32"/>
          <w14:textFill>
            <w14:solidFill>
              <w14:schemeClr w14:val="tx1"/>
            </w14:solidFill>
          </w14:textFill>
        </w:rPr>
        <w:t>须经发包人事先批准行使的权力：</w:t>
      </w:r>
      <w:r>
        <w:rPr>
          <w:rFonts w:hint="eastAsia" w:ascii="仿宋_GB2312" w:hAnsi="仿宋_GB2312" w:eastAsia="仿宋_GB2312" w:cs="仿宋_GB2312"/>
          <w:color w:val="000000" w:themeColor="text1"/>
          <w:sz w:val="30"/>
          <w:szCs w:val="32"/>
          <w:u w:val="single"/>
          <w14:textFill>
            <w14:solidFill>
              <w14:schemeClr w14:val="tx1"/>
            </w14:solidFill>
          </w14:textFill>
        </w:rPr>
        <w:t>开工、停工、复工令的下达，合同工期、工程变更、现场经济技术签证、工程付款。监理人针对以上事项通知、指示、批准、同意等文件必须经发包人盖章后方为有效。</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关于监理人在施工现场的办公场所、生活场所的提供和费用承担的约定：</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4.2 </w:t>
      </w:r>
      <w:r>
        <w:rPr>
          <w:rFonts w:hint="eastAsia" w:eastAsia="黑体"/>
          <w:color w:val="000000" w:themeColor="text1"/>
          <w:sz w:val="30"/>
          <w:szCs w:val="32"/>
          <w14:textFill>
            <w14:solidFill>
              <w14:schemeClr w14:val="tx1"/>
            </w14:solidFill>
          </w14:textFill>
        </w:rPr>
        <w:t>监理人员</w:t>
      </w:r>
      <w:r>
        <w:rPr>
          <w:rFonts w:hint="eastAsia"/>
          <w:i/>
          <w:color w:val="000000" w:themeColor="text1"/>
          <w:sz w:val="30"/>
          <w14:textFill>
            <w14:solidFill>
              <w14:schemeClr w14:val="tx1"/>
            </w14:solidFill>
          </w14:textFill>
        </w:rPr>
        <w:t>（</w:t>
      </w:r>
      <w:r>
        <w:rPr>
          <w:rFonts w:hint="eastAsia"/>
          <w:i/>
          <w:color w:val="000000" w:themeColor="text1"/>
          <w:sz w:val="30"/>
          <w:u w:val="single"/>
          <w14:textFill>
            <w14:solidFill>
              <w14:schemeClr w14:val="tx1"/>
            </w14:solidFill>
          </w14:textFill>
        </w:rPr>
        <w:t>按监理合同据实填写</w:t>
      </w:r>
      <w:r>
        <w:rPr>
          <w:rFonts w:hint="eastAsia"/>
          <w:i/>
          <w:color w:val="000000" w:themeColor="text1"/>
          <w:sz w:val="30"/>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总监理工程师：</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姓</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名：</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职</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务：</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监理工程师执业资格证书号：</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联系电话：</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电子信箱：</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通信地址：</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关于监理人的其他约定：</w:t>
      </w:r>
      <w:r>
        <w:rPr>
          <w:rFonts w:hint="eastAsia" w:eastAsia="仿宋_GB2312"/>
          <w:color w:val="000000" w:themeColor="text1"/>
          <w:sz w:val="30"/>
          <w:szCs w:val="32"/>
          <w:u w:val="single"/>
          <w14:textFill>
            <w14:solidFill>
              <w14:schemeClr w14:val="tx1"/>
            </w14:solidFill>
          </w14:textFill>
        </w:rPr>
        <w:t>任何签证批价（包括但不限于对工程量的确认、对材料价格的确认及对工程价款的确认），需经发包人书面同意后监理人签字盖章后方可有效；未经发包人书面认可，监理人擅自签字确认，相关文件无效且由此给发包人造成的全部损失由监理人承担全部责任</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4.4 </w:t>
      </w:r>
      <w:r>
        <w:rPr>
          <w:rFonts w:hint="eastAsia" w:eastAsia="黑体"/>
          <w:color w:val="000000" w:themeColor="text1"/>
          <w:sz w:val="30"/>
          <w:szCs w:val="32"/>
          <w14:textFill>
            <w14:solidFill>
              <w14:schemeClr w14:val="tx1"/>
            </w14:solidFill>
          </w14:textFill>
        </w:rPr>
        <w:t>商定或确定</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在发包人和承包人不能通过协商达成一致意见时，发包人授权监理人对以下事项进行确定：</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1</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无</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无</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3</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无</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pStyle w:val="8"/>
      </w:pPr>
      <w:r>
        <w:t xml:space="preserve">5. </w:t>
      </w:r>
      <w:r>
        <w:rPr>
          <w:rFonts w:hint="eastAsia"/>
        </w:rPr>
        <w:t>工程质量</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5.1 </w:t>
      </w:r>
      <w:r>
        <w:rPr>
          <w:rFonts w:hint="eastAsia" w:eastAsia="黑体"/>
          <w:color w:val="000000" w:themeColor="text1"/>
          <w:sz w:val="30"/>
          <w:szCs w:val="32"/>
          <w14:textFill>
            <w14:solidFill>
              <w14:schemeClr w14:val="tx1"/>
            </w14:solidFill>
          </w14:textFill>
        </w:rPr>
        <w:t>质量要求</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5.1.1 </w:t>
      </w:r>
      <w:r>
        <w:rPr>
          <w:rFonts w:hint="eastAsia" w:eastAsia="仿宋_GB2312"/>
          <w:color w:val="000000" w:themeColor="text1"/>
          <w:sz w:val="30"/>
          <w:szCs w:val="32"/>
          <w14:textFill>
            <w14:solidFill>
              <w14:schemeClr w14:val="tx1"/>
            </w14:solidFill>
          </w14:textFill>
        </w:rPr>
        <w:t>特殊质量标准和要求：</w:t>
      </w:r>
      <w:r>
        <w:rPr>
          <w:rFonts w:hint="eastAsia" w:ascii="Arial" w:hAnsi="Arial" w:eastAsia="仿宋_GB2312" w:cs="Arial"/>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黑体"/>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关于工程奖项的约定：</w:t>
      </w:r>
      <w:r>
        <w:rPr>
          <w:rFonts w:hint="eastAsia" w:ascii="Arial" w:hAnsi="Arial" w:eastAsia="仿宋_GB2312" w:cs="Arial"/>
          <w:color w:val="000000" w:themeColor="text1"/>
          <w:sz w:val="30"/>
          <w:szCs w:val="32"/>
          <w:u w:val="single"/>
          <w14:textFill>
            <w14:solidFill>
              <w14:schemeClr w14:val="tx1"/>
            </w14:solidFill>
          </w14:textFill>
        </w:rPr>
        <w:t>无</w:t>
      </w:r>
      <w:r>
        <w:rPr>
          <w:rFonts w:hint="eastAsia" w:eastAsia="仿宋_GB2312"/>
          <w:color w:val="000000" w:themeColor="text1"/>
          <w:sz w:val="30"/>
          <w:szCs w:val="32"/>
          <w:u w:val="single"/>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5.3 </w:t>
      </w:r>
      <w:r>
        <w:rPr>
          <w:rFonts w:hint="eastAsia" w:eastAsia="黑体"/>
          <w:color w:val="000000" w:themeColor="text1"/>
          <w:sz w:val="30"/>
          <w:szCs w:val="32"/>
          <w14:textFill>
            <w14:solidFill>
              <w14:schemeClr w14:val="tx1"/>
            </w14:solidFill>
          </w14:textFill>
        </w:rPr>
        <w:t>隐蔽工程检查</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5.3.2</w:t>
      </w:r>
      <w:r>
        <w:rPr>
          <w:rFonts w:hint="eastAsia" w:eastAsia="仿宋_GB2312"/>
          <w:color w:val="000000" w:themeColor="text1"/>
          <w:sz w:val="30"/>
          <w:szCs w:val="32"/>
          <w14:textFill>
            <w14:solidFill>
              <w14:schemeClr w14:val="tx1"/>
            </w14:solidFill>
          </w14:textFill>
        </w:rPr>
        <w:t>承包人提前通知监理人隐蔽工程检查的期限的约定：</w:t>
      </w:r>
      <w:r>
        <w:rPr>
          <w:rFonts w:hint="eastAsia" w:eastAsia="仿宋_GB2312"/>
          <w:color w:val="000000" w:themeColor="text1"/>
          <w:kern w:val="0"/>
          <w:sz w:val="30"/>
          <w:szCs w:val="32"/>
          <w:u w:val="single"/>
          <w14:textFill>
            <w14:solidFill>
              <w14:schemeClr w14:val="tx1"/>
            </w14:solidFill>
          </w14:textFill>
        </w:rPr>
        <w:t>在共同检查前</w:t>
      </w:r>
      <w:r>
        <w:rPr>
          <w:rFonts w:eastAsia="仿宋_GB2312"/>
          <w:color w:val="000000" w:themeColor="text1"/>
          <w:kern w:val="0"/>
          <w:sz w:val="30"/>
          <w:szCs w:val="32"/>
          <w:u w:val="single"/>
          <w14:textFill>
            <w14:solidFill>
              <w14:schemeClr w14:val="tx1"/>
            </w14:solidFill>
          </w14:textFill>
        </w:rPr>
        <w:t>48</w:t>
      </w:r>
      <w:r>
        <w:rPr>
          <w:rFonts w:hint="eastAsia" w:eastAsia="仿宋_GB2312"/>
          <w:color w:val="000000" w:themeColor="text1"/>
          <w:kern w:val="0"/>
          <w:sz w:val="30"/>
          <w:szCs w:val="32"/>
          <w:u w:val="single"/>
          <w14:textFill>
            <w14:solidFill>
              <w14:schemeClr w14:val="tx1"/>
            </w14:solidFill>
          </w14:textFill>
        </w:rPr>
        <w:t>小时书面通知监理人</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监理人不能按时进行检查时，应提前</w:t>
      </w:r>
      <w:r>
        <w:rPr>
          <w:rFonts w:eastAsia="仿宋_GB2312"/>
          <w:color w:val="000000" w:themeColor="text1"/>
          <w:sz w:val="30"/>
          <w:szCs w:val="32"/>
          <w:u w:val="single"/>
          <w14:textFill>
            <w14:solidFill>
              <w14:schemeClr w14:val="tx1"/>
            </w14:solidFill>
          </w14:textFill>
        </w:rPr>
        <w:t xml:space="preserve">  24  </w:t>
      </w:r>
      <w:r>
        <w:rPr>
          <w:rFonts w:hint="eastAsia" w:eastAsia="仿宋_GB2312"/>
          <w:color w:val="000000" w:themeColor="text1"/>
          <w:sz w:val="30"/>
          <w:szCs w:val="32"/>
          <w14:textFill>
            <w14:solidFill>
              <w14:schemeClr w14:val="tx1"/>
            </w14:solidFill>
          </w14:textFill>
        </w:rPr>
        <w:t>小时提交书面延期要求。</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关于延期最长不得超过：</w:t>
      </w:r>
      <w:r>
        <w:rPr>
          <w:rFonts w:eastAsia="仿宋_GB2312"/>
          <w:color w:val="000000" w:themeColor="text1"/>
          <w:sz w:val="30"/>
          <w:szCs w:val="32"/>
          <w:u w:val="single"/>
          <w14:textFill>
            <w14:solidFill>
              <w14:schemeClr w14:val="tx1"/>
            </w14:solidFill>
          </w14:textFill>
        </w:rPr>
        <w:t xml:space="preserve">  48  </w:t>
      </w:r>
      <w:r>
        <w:rPr>
          <w:rFonts w:hint="eastAsia" w:eastAsia="仿宋_GB2312"/>
          <w:color w:val="000000" w:themeColor="text1"/>
          <w:sz w:val="30"/>
          <w:szCs w:val="32"/>
          <w14:textFill>
            <w14:solidFill>
              <w14:schemeClr w14:val="tx1"/>
            </w14:solidFill>
          </w14:textFill>
        </w:rPr>
        <w:t>小时。</w:t>
      </w:r>
    </w:p>
    <w:p>
      <w:pPr>
        <w:pStyle w:val="8"/>
      </w:pPr>
      <w:r>
        <w:t xml:space="preserve">6. </w:t>
      </w:r>
      <w:r>
        <w:rPr>
          <w:rFonts w:hint="eastAsia"/>
        </w:rPr>
        <w:t>安全文明施工与环境保护</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6.1</w:t>
      </w:r>
      <w:r>
        <w:rPr>
          <w:rFonts w:hint="eastAsia" w:eastAsia="黑体"/>
          <w:color w:val="000000" w:themeColor="text1"/>
          <w:sz w:val="30"/>
          <w:szCs w:val="32"/>
          <w14:textFill>
            <w14:solidFill>
              <w14:schemeClr w14:val="tx1"/>
            </w14:solidFill>
          </w14:textFill>
        </w:rPr>
        <w:t>安全文明施工</w:t>
      </w:r>
    </w:p>
    <w:p>
      <w:pPr>
        <w:ind w:firstLine="600" w:firstLineChars="200"/>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6.1.1 </w:t>
      </w:r>
      <w:r>
        <w:rPr>
          <w:rFonts w:hint="eastAsia" w:eastAsia="仿宋_GB2312"/>
          <w:color w:val="000000" w:themeColor="text1"/>
          <w:sz w:val="30"/>
          <w:szCs w:val="32"/>
          <w14:textFill>
            <w14:solidFill>
              <w14:schemeClr w14:val="tx1"/>
            </w14:solidFill>
          </w14:textFill>
        </w:rPr>
        <w:t>项目安全生产的达标目标及相应事项的约定</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应当遵守国家和工程所在地有关安全生产规定的要求</w:t>
      </w:r>
      <w:r>
        <w:rPr>
          <w:rFonts w:hint="eastAsia" w:eastAsia="仿宋_GB2312"/>
          <w:color w:val="000000" w:themeColor="text1"/>
          <w:sz w:val="30"/>
          <w:szCs w:val="32"/>
          <w:u w:val="single"/>
          <w14:textFill>
            <w14:solidFill>
              <w14:schemeClr w14:val="tx1"/>
            </w14:solidFill>
          </w14:textFill>
        </w:rPr>
        <w:t>，同时遵守发包人厂区园区的一切安全生产管理规定，执行附件10《相关方安全协议》、附件11《施工现场管理协议》。承包人负责本工程施工作业区、料场、办公区、生活区的安全生产、环境保护、治安、消防管理等工作，对本工程安全生产、文明施工工作承担全部责任。承包人须确保因工重伤、死亡事故为零，若发生重伤、死亡事故，除承担一切责任外须承担违约金</w:t>
      </w:r>
      <w:r>
        <w:rPr>
          <w:rFonts w:eastAsia="仿宋_GB2312"/>
          <w:color w:val="000000" w:themeColor="text1"/>
          <w:sz w:val="30"/>
          <w:szCs w:val="32"/>
          <w:u w:val="single"/>
          <w14:textFill>
            <w14:solidFill>
              <w14:schemeClr w14:val="tx1"/>
            </w14:solidFill>
          </w14:textFill>
        </w:rPr>
        <w:t>100000元/人次</w:t>
      </w:r>
      <w:r>
        <w:rPr>
          <w:rFonts w:hint="eastAsia" w:eastAsia="仿宋_GB2312"/>
          <w:color w:val="000000" w:themeColor="text1"/>
          <w:sz w:val="30"/>
          <w:szCs w:val="32"/>
          <w:u w:val="single"/>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6.1.4 </w:t>
      </w:r>
      <w:r>
        <w:rPr>
          <w:rFonts w:hint="eastAsia" w:eastAsia="仿宋_GB2312"/>
          <w:color w:val="000000" w:themeColor="text1"/>
          <w:sz w:val="30"/>
          <w:szCs w:val="32"/>
          <w14:textFill>
            <w14:solidFill>
              <w14:schemeClr w14:val="tx1"/>
            </w14:solidFill>
          </w14:textFill>
        </w:rPr>
        <w:t>关于治安保卫的特别约定：</w:t>
      </w:r>
      <w:r>
        <w:rPr>
          <w:rFonts w:hint="eastAsia" w:eastAsia="仿宋_GB2312"/>
          <w:color w:val="000000" w:themeColor="text1"/>
          <w:sz w:val="30"/>
          <w:szCs w:val="32"/>
          <w:u w:val="single"/>
          <w14:textFill>
            <w14:solidFill>
              <w14:schemeClr w14:val="tx1"/>
            </w14:solidFill>
          </w14:textFill>
        </w:rPr>
        <w:t>承包人应为现场保卫提供足够的保安人员及相应设施。</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关于编制施工场地治安管理计划的约定：</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6.1.5 </w:t>
      </w:r>
      <w:r>
        <w:rPr>
          <w:rFonts w:hint="eastAsia" w:eastAsia="仿宋_GB2312"/>
          <w:color w:val="000000" w:themeColor="text1"/>
          <w:sz w:val="30"/>
          <w:szCs w:val="32"/>
          <w14:textFill>
            <w14:solidFill>
              <w14:schemeClr w14:val="tx1"/>
            </w14:solidFill>
          </w14:textFill>
        </w:rPr>
        <w:t>文明施工</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合同当事人对文明施工的要求：</w:t>
      </w:r>
      <w:r>
        <w:rPr>
          <w:rFonts w:hint="eastAsia" w:eastAsia="仿宋_GB2312"/>
          <w:color w:val="000000" w:themeColor="text1"/>
          <w:sz w:val="30"/>
          <w:szCs w:val="32"/>
          <w:u w:val="single"/>
          <w14:textFill>
            <w14:solidFill>
              <w14:schemeClr w14:val="tx1"/>
            </w14:solidFill>
          </w14:textFill>
        </w:rPr>
        <w:t>详见附件</w:t>
      </w:r>
      <w:r>
        <w:rPr>
          <w:rFonts w:eastAsia="仿宋_GB2312"/>
          <w:color w:val="000000" w:themeColor="text1"/>
          <w:sz w:val="30"/>
          <w:szCs w:val="32"/>
          <w:u w:val="single"/>
          <w14:textFill>
            <w14:solidFill>
              <w14:schemeClr w14:val="tx1"/>
            </w14:solidFill>
          </w14:textFill>
        </w:rPr>
        <w:t>10</w:t>
      </w:r>
      <w:r>
        <w:rPr>
          <w:rFonts w:hint="eastAsia" w:eastAsia="仿宋_GB2312"/>
          <w:color w:val="000000" w:themeColor="text1"/>
          <w:sz w:val="30"/>
          <w:szCs w:val="32"/>
          <w:u w:val="single"/>
          <w14:textFill>
            <w14:solidFill>
              <w14:schemeClr w14:val="tx1"/>
            </w14:solidFill>
          </w14:textFill>
        </w:rPr>
        <w:t>《相关方安全协议》、附件11《施工现场管理协议》。在工程移交之前，承包人从施工现场清除承包人的全部工程设备、多余材料、垃圾和各种临时工程的费用已包含在合同签约价中，不另行计取</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6.1.6 </w:t>
      </w:r>
      <w:r>
        <w:rPr>
          <w:rFonts w:hint="eastAsia" w:eastAsia="仿宋_GB2312"/>
          <w:color w:val="000000" w:themeColor="text1"/>
          <w:sz w:val="30"/>
          <w:szCs w:val="32"/>
          <w14:textFill>
            <w14:solidFill>
              <w14:schemeClr w14:val="tx1"/>
            </w14:solidFill>
          </w14:textFill>
        </w:rPr>
        <w:t>关于安全文明施工费支付比例和支付期限的约定：</w:t>
      </w:r>
    </w:p>
    <w:p>
      <w:pPr>
        <w:spacing w:line="360" w:lineRule="auto"/>
        <w:ind w:firstLine="600" w:firstLineChars="200"/>
        <w:jc w:val="left"/>
        <w:rPr>
          <w:rFonts w:ascii="仿宋_GB2312" w:hAnsi="仿宋_GB2312" w:eastAsia="仿宋_GB2312" w:cs="仿宋_GB2312"/>
          <w:color w:val="000000" w:themeColor="text1"/>
          <w:sz w:val="30"/>
          <w:szCs w:val="32"/>
          <w:u w:val="single"/>
          <w14:textFill>
            <w14:solidFill>
              <w14:schemeClr w14:val="tx1"/>
            </w14:solidFill>
          </w14:textFill>
        </w:rPr>
      </w:pPr>
      <w:r>
        <w:rPr>
          <w:rFonts w:hint="eastAsia"/>
          <w:color w:val="000000" w:themeColor="text1"/>
          <w:sz w:val="30"/>
          <w14:textFill>
            <w14:solidFill>
              <w14:schemeClr w14:val="tx1"/>
            </w14:solidFill>
          </w14:textFill>
        </w:rPr>
        <w:t>支付比例：</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应依据项目属地政府有关规定，在合同第一次付款时一次性全额支付安全文明施工费。</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color w:val="000000" w:themeColor="text1"/>
          <w:sz w:val="30"/>
          <w14:textFill>
            <w14:solidFill>
              <w14:schemeClr w14:val="tx1"/>
            </w14:solidFill>
          </w14:textFill>
        </w:rPr>
        <w:t>付款形式：</w:t>
      </w:r>
      <w:r>
        <w:rPr>
          <w:rFonts w:hint="eastAsia" w:eastAsia="仿宋_GB2312"/>
          <w:sz w:val="30"/>
          <w:szCs w:val="32"/>
          <w:u w:val="single"/>
        </w:rPr>
        <w:t>同工程进度款</w:t>
      </w:r>
      <w:r>
        <w:rPr>
          <w:rFonts w:hint="eastAsia" w:eastAsia="仿宋_GB2312"/>
          <w:color w:val="000000" w:themeColor="text1"/>
          <w:sz w:val="30"/>
          <w:szCs w:val="32"/>
          <w:u w:val="single"/>
          <w14:textFill>
            <w14:solidFill>
              <w14:schemeClr w14:val="tx1"/>
            </w14:solidFill>
          </w14:textFill>
        </w:rPr>
        <w:t>。</w:t>
      </w:r>
    </w:p>
    <w:p>
      <w:pPr>
        <w:spacing w:line="360" w:lineRule="auto"/>
        <w:ind w:firstLine="600" w:firstLineChars="200"/>
        <w:jc w:val="left"/>
        <w:rPr>
          <w:rFonts w:eastAsia="仿宋"/>
          <w:color w:val="000000" w:themeColor="text1"/>
          <w:sz w:val="30"/>
          <w:szCs w:val="32"/>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支付期限：</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在合同签订后</w:t>
      </w:r>
      <w:r>
        <w:rPr>
          <w:rFonts w:eastAsia="仿宋_GB2312"/>
          <w:color w:val="000000" w:themeColor="text1"/>
          <w:sz w:val="30"/>
          <w:szCs w:val="32"/>
          <w:u w:val="single"/>
          <w14:textFill>
            <w14:solidFill>
              <w14:schemeClr w14:val="tx1"/>
            </w14:solidFill>
          </w14:textFill>
        </w:rPr>
        <w:t>45</w:t>
      </w:r>
      <w:r>
        <w:rPr>
          <w:rFonts w:hint="eastAsia" w:eastAsia="仿宋_GB2312"/>
          <w:color w:val="000000" w:themeColor="text1"/>
          <w:sz w:val="30"/>
          <w:szCs w:val="32"/>
          <w:u w:val="single"/>
          <w14:textFill>
            <w14:solidFill>
              <w14:schemeClr w14:val="tx1"/>
            </w14:solidFill>
          </w14:textFill>
        </w:rPr>
        <w:t>天内</w:t>
      </w:r>
      <w:r>
        <w:rPr>
          <w:rFonts w:hint="eastAsia" w:ascii="仿宋" w:hAnsi="仿宋" w:eastAsia="仿宋"/>
          <w:color w:val="000000" w:themeColor="text1"/>
          <w:sz w:val="30"/>
          <w:szCs w:val="30"/>
          <w14:textFill>
            <w14:solidFill>
              <w14:schemeClr w14:val="tx1"/>
            </w14:solidFill>
          </w14:textFill>
        </w:rPr>
        <w:t>。</w:t>
      </w:r>
    </w:p>
    <w:p>
      <w:pPr>
        <w:pStyle w:val="8"/>
      </w:pPr>
      <w:r>
        <w:t xml:space="preserve">7. </w:t>
      </w:r>
      <w:r>
        <w:rPr>
          <w:rFonts w:hint="eastAsia"/>
        </w:rPr>
        <w:t>工期和进度</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7.1 </w:t>
      </w:r>
      <w:r>
        <w:rPr>
          <w:rFonts w:hint="eastAsia" w:eastAsia="黑体"/>
          <w:color w:val="000000" w:themeColor="text1"/>
          <w:sz w:val="30"/>
          <w:szCs w:val="32"/>
          <w14:textFill>
            <w14:solidFill>
              <w14:schemeClr w14:val="tx1"/>
            </w14:solidFill>
          </w14:textFill>
        </w:rPr>
        <w:t>施工组织设计</w:t>
      </w:r>
    </w:p>
    <w:p>
      <w:pPr>
        <w:ind w:firstLine="600" w:firstLineChars="200"/>
        <w:rPr>
          <w:rFonts w:eastAsia="仿宋_GB2312"/>
          <w:color w:val="000000" w:themeColor="text1"/>
          <w:kern w:val="0"/>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7.1.1 </w:t>
      </w:r>
      <w:r>
        <w:rPr>
          <w:rFonts w:hint="eastAsia" w:eastAsia="仿宋_GB2312"/>
          <w:color w:val="000000" w:themeColor="text1"/>
          <w:sz w:val="30"/>
          <w:szCs w:val="32"/>
          <w14:textFill>
            <w14:solidFill>
              <w14:schemeClr w14:val="tx1"/>
            </w14:solidFill>
          </w14:textFill>
        </w:rPr>
        <w:t>合</w:t>
      </w:r>
      <w:r>
        <w:rPr>
          <w:rFonts w:hint="eastAsia" w:eastAsia="仿宋_GB2312"/>
          <w:color w:val="000000" w:themeColor="text1"/>
          <w:kern w:val="0"/>
          <w:sz w:val="30"/>
          <w:szCs w:val="32"/>
          <w14:textFill>
            <w14:solidFill>
              <w14:schemeClr w14:val="tx1"/>
            </w14:solidFill>
          </w14:textFill>
        </w:rPr>
        <w:t>同当事人约定的施工组织设计应包括的其他内容：</w:t>
      </w:r>
      <w:r>
        <w:rPr>
          <w:rFonts w:hint="eastAsia" w:eastAsia="仿宋_GB2312"/>
          <w:color w:val="000000" w:themeColor="text1"/>
          <w:kern w:val="0"/>
          <w:sz w:val="30"/>
          <w:szCs w:val="32"/>
          <w:u w:val="single"/>
          <w14:textFill>
            <w14:solidFill>
              <w14:schemeClr w14:val="tx1"/>
            </w14:solidFill>
          </w14:textFill>
        </w:rPr>
        <w:t>承包人应提交施工现场临时用水用电方案及治安保卫方案。承包人所提交的施工组织设计，不得低于承包人在投标施工组织设计中说明的所有工程内容、标准和承诺。</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7.1.2 </w:t>
      </w:r>
      <w:r>
        <w:rPr>
          <w:rFonts w:hint="eastAsia" w:eastAsia="仿宋_GB2312"/>
          <w:color w:val="000000" w:themeColor="text1"/>
          <w:kern w:val="0"/>
          <w:sz w:val="30"/>
          <w:szCs w:val="32"/>
          <w14:textFill>
            <w14:solidFill>
              <w14:schemeClr w14:val="tx1"/>
            </w14:solidFill>
          </w14:textFill>
        </w:rPr>
        <w:t>施工组织设计的提交和修改</w:t>
      </w:r>
    </w:p>
    <w:p>
      <w:pPr>
        <w:autoSpaceDE w:val="0"/>
        <w:autoSpaceDN w:val="0"/>
        <w:adjustRightInd w:val="0"/>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承包人提交详细施工组织设计的期限的约定：</w:t>
      </w:r>
      <w:r>
        <w:rPr>
          <w:rFonts w:hint="eastAsia" w:eastAsia="仿宋_GB2312"/>
          <w:color w:val="000000" w:themeColor="text1"/>
          <w:sz w:val="30"/>
          <w:szCs w:val="32"/>
          <w:u w:val="single"/>
          <w14:textFill>
            <w14:solidFill>
              <w14:schemeClr w14:val="tx1"/>
            </w14:solidFill>
          </w14:textFill>
        </w:rPr>
        <w:t>不迟于项目第一次工地例会前七天</w:t>
      </w:r>
      <w:r>
        <w:rPr>
          <w:rFonts w:hint="eastAsia" w:eastAsia="仿宋_GB2312"/>
          <w:color w:val="000000" w:themeColor="text1"/>
          <w:kern w:val="0"/>
          <w:sz w:val="30"/>
          <w:szCs w:val="32"/>
          <w:u w:val="single"/>
          <w14:textFill>
            <w14:solidFill>
              <w14:schemeClr w14:val="tx1"/>
            </w14:solidFill>
          </w14:textFill>
        </w:rPr>
        <w:t>，向发包人、监理人提交详细的施工组织设计</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发包人和监理人在收到详细的施工组织设计后确认或提出修改意见的期限：</w:t>
      </w:r>
      <w:r>
        <w:rPr>
          <w:rFonts w:hint="eastAsia" w:eastAsia="仿宋_GB2312"/>
          <w:color w:val="000000" w:themeColor="text1"/>
          <w:kern w:val="0"/>
          <w:sz w:val="30"/>
          <w:szCs w:val="32"/>
          <w:u w:val="single"/>
          <w14:textFill>
            <w14:solidFill>
              <w14:schemeClr w14:val="tx1"/>
            </w14:solidFill>
          </w14:textFill>
        </w:rPr>
        <w:t>收到施工组织设计后</w:t>
      </w:r>
      <w:r>
        <w:rPr>
          <w:rFonts w:eastAsia="仿宋_GB2312"/>
          <w:color w:val="000000" w:themeColor="text1"/>
          <w:kern w:val="0"/>
          <w:sz w:val="30"/>
          <w:szCs w:val="32"/>
          <w:u w:val="single"/>
          <w14:textFill>
            <w14:solidFill>
              <w14:schemeClr w14:val="tx1"/>
            </w14:solidFill>
          </w14:textFill>
        </w:rPr>
        <w:t>7</w:t>
      </w:r>
      <w:r>
        <w:rPr>
          <w:rFonts w:hint="eastAsia" w:eastAsia="仿宋_GB2312"/>
          <w:color w:val="000000" w:themeColor="text1"/>
          <w:kern w:val="0"/>
          <w:sz w:val="30"/>
          <w:szCs w:val="32"/>
          <w:u w:val="single"/>
          <w14:textFill>
            <w14:solidFill>
              <w14:schemeClr w14:val="tx1"/>
            </w14:solidFill>
          </w14:textFill>
        </w:rPr>
        <w:t>天内确认或提出修改意见</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7.2 </w:t>
      </w:r>
      <w:r>
        <w:rPr>
          <w:rFonts w:hint="eastAsia" w:eastAsia="黑体"/>
          <w:color w:val="000000" w:themeColor="text1"/>
          <w:sz w:val="30"/>
          <w:szCs w:val="32"/>
          <w14:textFill>
            <w14:solidFill>
              <w14:schemeClr w14:val="tx1"/>
            </w14:solidFill>
          </w14:textFill>
        </w:rPr>
        <w:t>施工进度计划</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7.2.2 </w:t>
      </w:r>
      <w:r>
        <w:rPr>
          <w:rFonts w:hint="eastAsia" w:eastAsia="仿宋_GB2312"/>
          <w:color w:val="000000" w:themeColor="text1"/>
          <w:sz w:val="30"/>
          <w:szCs w:val="32"/>
          <w14:textFill>
            <w14:solidFill>
              <w14:schemeClr w14:val="tx1"/>
            </w14:solidFill>
          </w14:textFill>
        </w:rPr>
        <w:t>施工进度计划的修订</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发包人和监理人在收到修订的施工进度计划后确认或提出修改意见的期限：</w:t>
      </w:r>
      <w:r>
        <w:rPr>
          <w:rFonts w:hint="eastAsia" w:eastAsia="仿宋_GB2312"/>
          <w:color w:val="000000" w:themeColor="text1"/>
          <w:kern w:val="0"/>
          <w:sz w:val="30"/>
          <w:szCs w:val="32"/>
          <w:u w:val="single"/>
          <w14:textFill>
            <w14:solidFill>
              <w14:schemeClr w14:val="tx1"/>
            </w14:solidFill>
          </w14:textFill>
        </w:rPr>
        <w:t>收到修订的施工进度计划后</w:t>
      </w:r>
      <w:r>
        <w:rPr>
          <w:rFonts w:eastAsia="仿宋_GB2312"/>
          <w:color w:val="000000" w:themeColor="text1"/>
          <w:kern w:val="0"/>
          <w:sz w:val="30"/>
          <w:szCs w:val="32"/>
          <w:u w:val="single"/>
          <w14:textFill>
            <w14:solidFill>
              <w14:schemeClr w14:val="tx1"/>
            </w14:solidFill>
          </w14:textFill>
        </w:rPr>
        <w:t>7</w:t>
      </w:r>
      <w:r>
        <w:rPr>
          <w:rFonts w:hint="eastAsia" w:eastAsia="仿宋_GB2312"/>
          <w:color w:val="000000" w:themeColor="text1"/>
          <w:kern w:val="0"/>
          <w:sz w:val="30"/>
          <w:szCs w:val="32"/>
          <w:u w:val="single"/>
          <w14:textFill>
            <w14:solidFill>
              <w14:schemeClr w14:val="tx1"/>
            </w14:solidFill>
          </w14:textFill>
        </w:rPr>
        <w:t>天内完成确认或提出修改意见</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7.3 </w:t>
      </w:r>
      <w:r>
        <w:rPr>
          <w:rFonts w:hint="eastAsia" w:eastAsia="黑体"/>
          <w:color w:val="000000" w:themeColor="text1"/>
          <w:sz w:val="30"/>
          <w:szCs w:val="32"/>
          <w14:textFill>
            <w14:solidFill>
              <w14:schemeClr w14:val="tx1"/>
            </w14:solidFill>
          </w14:textFill>
        </w:rPr>
        <w:t>开工</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7.3.1 </w:t>
      </w:r>
      <w:r>
        <w:rPr>
          <w:rFonts w:hint="eastAsia" w:eastAsia="仿宋_GB2312"/>
          <w:color w:val="000000" w:themeColor="text1"/>
          <w:sz w:val="30"/>
          <w:szCs w:val="32"/>
          <w14:textFill>
            <w14:solidFill>
              <w14:schemeClr w14:val="tx1"/>
            </w14:solidFill>
          </w14:textFill>
        </w:rPr>
        <w:t>开工准备</w:t>
      </w:r>
    </w:p>
    <w:p>
      <w:pPr>
        <w:spacing w:line="360" w:lineRule="auto"/>
        <w:ind w:firstLine="645"/>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关于承包人提交</w:t>
      </w:r>
      <w:r>
        <w:rPr>
          <w:rFonts w:hint="eastAsia" w:eastAsia="仿宋_GB2312"/>
          <w:color w:val="000000" w:themeColor="text1"/>
          <w:kern w:val="0"/>
          <w:sz w:val="30"/>
          <w:szCs w:val="32"/>
          <w14:textFill>
            <w14:solidFill>
              <w14:schemeClr w14:val="tx1"/>
            </w14:solidFill>
          </w14:textFill>
        </w:rPr>
        <w:t>工程开工报审表的期限：</w:t>
      </w:r>
      <w:r>
        <w:rPr>
          <w:rFonts w:hint="eastAsia" w:eastAsia="仿宋_GB2312"/>
          <w:color w:val="000000" w:themeColor="text1"/>
          <w:sz w:val="30"/>
          <w:szCs w:val="32"/>
          <w:u w:val="single"/>
          <w14:textFill>
            <w14:solidFill>
              <w14:schemeClr w14:val="tx1"/>
            </w14:solidFill>
          </w14:textFill>
        </w:rPr>
        <w:t>不迟于项目第一次工地例会前七天</w:t>
      </w:r>
      <w:r>
        <w:rPr>
          <w:rFonts w:hint="eastAsia" w:eastAsia="仿宋_GB2312"/>
          <w:color w:val="000000" w:themeColor="text1"/>
          <w:sz w:val="30"/>
          <w:szCs w:val="32"/>
          <w14:textFill>
            <w14:solidFill>
              <w14:schemeClr w14:val="tx1"/>
            </w14:solidFill>
          </w14:textFill>
        </w:rPr>
        <w:t>。</w:t>
      </w:r>
    </w:p>
    <w:p>
      <w:pPr>
        <w:spacing w:line="360" w:lineRule="auto"/>
        <w:ind w:firstLine="645"/>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关于发包人应完成的其他开工准备工作及期限：</w:t>
      </w:r>
      <w:r>
        <w:rPr>
          <w:rFonts w:hint="eastAsia" w:eastAsia="仿宋_GB2312"/>
          <w:i/>
          <w:iCs/>
          <w:color w:val="000000" w:themeColor="text1"/>
          <w:sz w:val="30"/>
          <w:szCs w:val="32"/>
          <w:u w:val="single"/>
          <w14:textFill>
            <w14:solidFill>
              <w14:schemeClr w14:val="tx1"/>
            </w14:solidFill>
          </w14:textFill>
        </w:rPr>
        <w:t>根据项目具体情况填写</w:t>
      </w:r>
      <w:r>
        <w:rPr>
          <w:rFonts w:hint="eastAsia" w:eastAsia="仿宋_GB2312"/>
          <w:color w:val="000000" w:themeColor="text1"/>
          <w:sz w:val="30"/>
          <w:szCs w:val="32"/>
          <w:u w:val="single"/>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关于承包人应完成的其他开工准备工作及期限：</w:t>
      </w:r>
      <w:r>
        <w:rPr>
          <w:rFonts w:hint="eastAsia" w:eastAsia="仿宋_GB2312"/>
          <w:i/>
          <w:iCs/>
          <w:color w:val="000000" w:themeColor="text1"/>
          <w:sz w:val="30"/>
          <w:szCs w:val="32"/>
          <w:u w:val="single"/>
          <w14:textFill>
            <w14:solidFill>
              <w14:schemeClr w14:val="tx1"/>
            </w14:solidFill>
          </w14:textFill>
        </w:rPr>
        <w:t>根据项目具体情况填写</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7.3.2</w:t>
      </w:r>
      <w:r>
        <w:rPr>
          <w:rFonts w:hint="eastAsia" w:eastAsia="仿宋_GB2312"/>
          <w:color w:val="000000" w:themeColor="text1"/>
          <w:sz w:val="30"/>
          <w:szCs w:val="32"/>
          <w14:textFill>
            <w14:solidFill>
              <w14:schemeClr w14:val="tx1"/>
            </w14:solidFill>
          </w14:textFill>
        </w:rPr>
        <w:t>开工通知</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因发包人原因造成监理人未能在计划开工日期之日起</w:t>
      </w:r>
      <w:r>
        <w:rPr>
          <w:rFonts w:eastAsia="仿宋_GB2312"/>
          <w:color w:val="000000" w:themeColor="text1"/>
          <w:sz w:val="30"/>
          <w:szCs w:val="32"/>
          <w:u w:val="single"/>
          <w14:textFill>
            <w14:solidFill>
              <w14:schemeClr w14:val="tx1"/>
            </w14:solidFill>
          </w14:textFill>
        </w:rPr>
        <w:t>90</w:t>
      </w:r>
      <w:r>
        <w:rPr>
          <w:rFonts w:hint="eastAsia" w:eastAsia="仿宋_GB2312"/>
          <w:color w:val="000000" w:themeColor="text1"/>
          <w:sz w:val="30"/>
          <w:szCs w:val="32"/>
          <w14:textFill>
            <w14:solidFill>
              <w14:schemeClr w14:val="tx1"/>
            </w14:solidFill>
          </w14:textFill>
        </w:rPr>
        <w:t>天内发出开工通知的，承包人有权提出价格调整要求，或者解除合同。</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7.5 </w:t>
      </w:r>
      <w:r>
        <w:rPr>
          <w:rFonts w:hint="eastAsia" w:eastAsia="黑体"/>
          <w:color w:val="000000" w:themeColor="text1"/>
          <w:sz w:val="30"/>
          <w:szCs w:val="32"/>
          <w14:textFill>
            <w14:solidFill>
              <w14:schemeClr w14:val="tx1"/>
            </w14:solidFill>
          </w14:textFill>
        </w:rPr>
        <w:t>工期延误</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7.5.1 </w:t>
      </w:r>
      <w:r>
        <w:rPr>
          <w:rFonts w:hint="eastAsia" w:eastAsia="仿宋_GB2312"/>
          <w:color w:val="000000" w:themeColor="text1"/>
          <w:sz w:val="30"/>
          <w:szCs w:val="32"/>
          <w14:textFill>
            <w14:solidFill>
              <w14:schemeClr w14:val="tx1"/>
            </w14:solidFill>
          </w14:textFill>
        </w:rPr>
        <w:t>因发包人原因导致工期延误</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7</w:t>
      </w:r>
      <w:r>
        <w:rPr>
          <w:rFonts w:hint="eastAsia" w:eastAsia="仿宋_GB2312"/>
          <w:color w:val="000000" w:themeColor="text1"/>
          <w:sz w:val="30"/>
          <w:szCs w:val="32"/>
          <w14:textFill>
            <w14:solidFill>
              <w14:schemeClr w14:val="tx1"/>
            </w14:solidFill>
          </w14:textFill>
        </w:rPr>
        <w:t>）因发包人原因导致工期延误的其他情形：</w:t>
      </w:r>
      <w:r>
        <w:rPr>
          <w:rFonts w:hint="eastAsia" w:eastAsia="仿宋_GB2312"/>
          <w:color w:val="000000" w:themeColor="text1"/>
          <w:sz w:val="30"/>
          <w:szCs w:val="32"/>
          <w:u w:val="single"/>
          <w14:textFill>
            <w14:solidFill>
              <w14:schemeClr w14:val="tx1"/>
            </w14:solidFill>
          </w14:textFill>
        </w:rPr>
        <w:t>因发包人原因导致工期延误的情形须是造成关键线路上的工期延误承包人才能有权要求发包人延长工期，发包人据实顺延工期但不予承担延期造成的费用增加。</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7.5.2 </w:t>
      </w:r>
      <w:r>
        <w:rPr>
          <w:rFonts w:hint="eastAsia" w:eastAsia="仿宋_GB2312"/>
          <w:color w:val="000000" w:themeColor="text1"/>
          <w:sz w:val="30"/>
          <w:szCs w:val="32"/>
          <w14:textFill>
            <w14:solidFill>
              <w14:schemeClr w14:val="tx1"/>
            </w14:solidFill>
          </w14:textFill>
        </w:rPr>
        <w:t>因承包人原因导致工期延误</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因承包人原因造成工期延误，逾期竣工违约金的计算方法为：</w:t>
      </w:r>
    </w:p>
    <w:p>
      <w:pPr>
        <w:spacing w:line="360" w:lineRule="auto"/>
        <w:ind w:firstLine="600" w:firstLineChars="200"/>
        <w:rPr>
          <w:rFonts w:eastAsia="仿宋_GB2312" w:cs="仿宋_GB2312"/>
          <w:color w:val="000000" w:themeColor="text1"/>
          <w:sz w:val="30"/>
          <w:szCs w:val="32"/>
          <w:u w:val="single"/>
          <w:lang w:bidi="ar"/>
          <w14:textFill>
            <w14:solidFill>
              <w14:schemeClr w14:val="tx1"/>
            </w14:solidFill>
          </w14:textFill>
        </w:rPr>
      </w:pPr>
      <w:r>
        <w:rPr>
          <w:rFonts w:eastAsia="仿宋_GB2312" w:cs="仿宋_GB2312"/>
          <w:color w:val="000000" w:themeColor="text1"/>
          <w:sz w:val="30"/>
          <w:szCs w:val="32"/>
          <w:u w:val="single"/>
          <w:lang w:bidi="ar"/>
          <w14:textFill>
            <w14:solidFill>
              <w14:schemeClr w14:val="tx1"/>
            </w14:solidFill>
          </w14:textFill>
        </w:rPr>
        <w:t>除不可抗力原因外，因任何因素造成的工期延误，总工期均不予顺延，停工费用损失不予计取；承包人不能按合同约定的工期完成任一关键里程碑节点的，各里程碑节点每逾期一天按合同</w:t>
      </w:r>
      <w:r>
        <w:rPr>
          <w:rFonts w:hint="eastAsia" w:eastAsia="仿宋_GB2312" w:cs="仿宋_GB2312"/>
          <w:color w:val="000000" w:themeColor="text1"/>
          <w:sz w:val="30"/>
          <w:szCs w:val="32"/>
          <w:u w:val="single"/>
          <w:lang w:bidi="ar"/>
          <w14:textFill>
            <w14:solidFill>
              <w14:schemeClr w14:val="tx1"/>
            </w14:solidFill>
          </w14:textFill>
        </w:rPr>
        <w:t>最终结算</w:t>
      </w:r>
      <w:r>
        <w:rPr>
          <w:rFonts w:eastAsia="仿宋_GB2312" w:cs="仿宋_GB2312"/>
          <w:color w:val="000000" w:themeColor="text1"/>
          <w:sz w:val="30"/>
          <w:szCs w:val="32"/>
          <w:u w:val="single"/>
          <w:lang w:bidi="ar"/>
          <w14:textFill>
            <w14:solidFill>
              <w14:schemeClr w14:val="tx1"/>
            </w14:solidFill>
          </w14:textFill>
        </w:rPr>
        <w:t>价</w:t>
      </w:r>
      <w:r>
        <w:rPr>
          <w:rFonts w:eastAsia="仿宋_GB2312"/>
          <w:color w:val="000000" w:themeColor="text1"/>
          <w:sz w:val="30"/>
          <w:szCs w:val="32"/>
          <w:u w:val="single"/>
          <w:lang w:bidi="ar"/>
          <w14:textFill>
            <w14:solidFill>
              <w14:schemeClr w14:val="tx1"/>
            </w14:solidFill>
          </w14:textFill>
        </w:rPr>
        <w:t>0.5</w:t>
      </w:r>
      <w:r>
        <w:rPr>
          <w:rFonts w:eastAsia="仿宋_GB2312" w:cs="仿宋_GB2312"/>
          <w:color w:val="000000" w:themeColor="text1"/>
          <w:sz w:val="30"/>
          <w:szCs w:val="32"/>
          <w:u w:val="single"/>
          <w:lang w:bidi="ar"/>
          <w14:textFill>
            <w14:solidFill>
              <w14:schemeClr w14:val="tx1"/>
            </w14:solidFill>
          </w14:textFill>
        </w:rPr>
        <w:t>‰的金额向发包人支付违约金</w:t>
      </w:r>
      <w:r>
        <w:rPr>
          <w:rFonts w:hint="eastAsia" w:eastAsia="仿宋_GB2312" w:cs="仿宋_GB2312"/>
          <w:color w:val="000000" w:themeColor="text1"/>
          <w:sz w:val="30"/>
          <w:szCs w:val="32"/>
          <w:u w:val="single"/>
          <w:lang w:bidi="ar"/>
          <w14:textFill>
            <w14:solidFill>
              <w14:schemeClr w14:val="tx1"/>
            </w14:solidFill>
          </w14:textFill>
        </w:rPr>
        <w:t>，没有最终结算价的，按合同签约暂定价的</w:t>
      </w:r>
      <w:r>
        <w:rPr>
          <w:rFonts w:eastAsia="仿宋_GB2312"/>
          <w:color w:val="000000" w:themeColor="text1"/>
          <w:sz w:val="30"/>
          <w:szCs w:val="32"/>
          <w:u w:val="single"/>
          <w:lang w:bidi="ar"/>
          <w14:textFill>
            <w14:solidFill>
              <w14:schemeClr w14:val="tx1"/>
            </w14:solidFill>
          </w14:textFill>
        </w:rPr>
        <w:t>0.5</w:t>
      </w:r>
      <w:r>
        <w:rPr>
          <w:rFonts w:eastAsia="仿宋_GB2312" w:cs="仿宋_GB2312"/>
          <w:color w:val="000000" w:themeColor="text1"/>
          <w:sz w:val="30"/>
          <w:szCs w:val="32"/>
          <w:u w:val="single"/>
          <w:lang w:bidi="ar"/>
          <w14:textFill>
            <w14:solidFill>
              <w14:schemeClr w14:val="tx1"/>
            </w14:solidFill>
          </w14:textFill>
        </w:rPr>
        <w:t>‰</w:t>
      </w:r>
      <w:r>
        <w:rPr>
          <w:rFonts w:hint="eastAsia" w:eastAsia="仿宋_GB2312" w:cs="仿宋_GB2312"/>
          <w:color w:val="000000" w:themeColor="text1"/>
          <w:sz w:val="30"/>
          <w:szCs w:val="32"/>
          <w:u w:val="single"/>
          <w:lang w:bidi="ar"/>
          <w14:textFill>
            <w14:solidFill>
              <w14:schemeClr w14:val="tx1"/>
            </w14:solidFill>
          </w14:textFill>
        </w:rPr>
        <w:t>计算</w:t>
      </w:r>
      <w:r>
        <w:rPr>
          <w:rFonts w:eastAsia="仿宋_GB2312" w:cs="仿宋_GB2312"/>
          <w:color w:val="000000" w:themeColor="text1"/>
          <w:sz w:val="30"/>
          <w:szCs w:val="32"/>
          <w:u w:val="single"/>
          <w:lang w:bidi="ar"/>
          <w14:textFill>
            <w14:solidFill>
              <w14:schemeClr w14:val="tx1"/>
            </w14:solidFill>
          </w14:textFill>
        </w:rPr>
        <w:t>；各里程碑节点逾期超过</w:t>
      </w:r>
      <w:r>
        <w:rPr>
          <w:rFonts w:eastAsia="仿宋_GB2312"/>
          <w:color w:val="000000" w:themeColor="text1"/>
          <w:sz w:val="30"/>
          <w:szCs w:val="32"/>
          <w:u w:val="single"/>
          <w:lang w:bidi="ar"/>
          <w14:textFill>
            <w14:solidFill>
              <w14:schemeClr w14:val="tx1"/>
            </w14:solidFill>
          </w14:textFill>
        </w:rPr>
        <w:t>90</w:t>
      </w:r>
      <w:r>
        <w:rPr>
          <w:rFonts w:eastAsia="仿宋_GB2312" w:cs="仿宋_GB2312"/>
          <w:color w:val="000000" w:themeColor="text1"/>
          <w:sz w:val="30"/>
          <w:szCs w:val="32"/>
          <w:u w:val="single"/>
          <w:lang w:bidi="ar"/>
          <w14:textFill>
            <w14:solidFill>
              <w14:schemeClr w14:val="tx1"/>
            </w14:solidFill>
          </w14:textFill>
        </w:rPr>
        <w:t>天，每逾期一天按合同</w:t>
      </w:r>
      <w:r>
        <w:rPr>
          <w:rFonts w:hint="eastAsia" w:eastAsia="仿宋_GB2312" w:cs="仿宋_GB2312"/>
          <w:color w:val="000000" w:themeColor="text1"/>
          <w:sz w:val="30"/>
          <w:szCs w:val="32"/>
          <w:u w:val="single"/>
          <w:lang w:bidi="ar"/>
          <w14:textFill>
            <w14:solidFill>
              <w14:schemeClr w14:val="tx1"/>
            </w14:solidFill>
          </w14:textFill>
        </w:rPr>
        <w:t>最终结算</w:t>
      </w:r>
      <w:r>
        <w:rPr>
          <w:rFonts w:eastAsia="仿宋_GB2312" w:cs="仿宋_GB2312"/>
          <w:color w:val="000000" w:themeColor="text1"/>
          <w:sz w:val="30"/>
          <w:szCs w:val="32"/>
          <w:u w:val="single"/>
          <w:lang w:bidi="ar"/>
          <w14:textFill>
            <w14:solidFill>
              <w14:schemeClr w14:val="tx1"/>
            </w14:solidFill>
          </w14:textFill>
        </w:rPr>
        <w:t>价</w:t>
      </w:r>
      <w:r>
        <w:rPr>
          <w:rFonts w:eastAsia="仿宋_GB2312"/>
          <w:color w:val="000000" w:themeColor="text1"/>
          <w:sz w:val="30"/>
          <w:szCs w:val="32"/>
          <w:u w:val="single"/>
          <w:lang w:bidi="ar"/>
          <w14:textFill>
            <w14:solidFill>
              <w14:schemeClr w14:val="tx1"/>
            </w14:solidFill>
          </w14:textFill>
        </w:rPr>
        <w:t>1</w:t>
      </w:r>
      <w:r>
        <w:rPr>
          <w:rFonts w:eastAsia="仿宋_GB2312" w:cs="仿宋_GB2312"/>
          <w:color w:val="000000" w:themeColor="text1"/>
          <w:sz w:val="30"/>
          <w:szCs w:val="32"/>
          <w:u w:val="single"/>
          <w:lang w:bidi="ar"/>
          <w14:textFill>
            <w14:solidFill>
              <w14:schemeClr w14:val="tx1"/>
            </w14:solidFill>
          </w14:textFill>
        </w:rPr>
        <w:t>‰的金额向发包人支付违约金，</w:t>
      </w:r>
      <w:r>
        <w:rPr>
          <w:rFonts w:hint="eastAsia" w:eastAsia="仿宋_GB2312" w:cs="仿宋_GB2312"/>
          <w:color w:val="000000" w:themeColor="text1"/>
          <w:sz w:val="30"/>
          <w:szCs w:val="32"/>
          <w:u w:val="single"/>
          <w:lang w:bidi="ar"/>
          <w14:textFill>
            <w14:solidFill>
              <w14:schemeClr w14:val="tx1"/>
            </w14:solidFill>
          </w14:textFill>
        </w:rPr>
        <w:t>没有最终结算价的，按合同签约暂定价的</w:t>
      </w:r>
      <w:r>
        <w:rPr>
          <w:rFonts w:eastAsia="仿宋_GB2312"/>
          <w:color w:val="000000" w:themeColor="text1"/>
          <w:sz w:val="30"/>
          <w:szCs w:val="32"/>
          <w:u w:val="single"/>
          <w:lang w:bidi="ar"/>
          <w14:textFill>
            <w14:solidFill>
              <w14:schemeClr w14:val="tx1"/>
            </w14:solidFill>
          </w14:textFill>
        </w:rPr>
        <w:t>0.5</w:t>
      </w:r>
      <w:r>
        <w:rPr>
          <w:rFonts w:eastAsia="仿宋_GB2312" w:cs="仿宋_GB2312"/>
          <w:color w:val="000000" w:themeColor="text1"/>
          <w:sz w:val="30"/>
          <w:szCs w:val="32"/>
          <w:u w:val="single"/>
          <w:lang w:bidi="ar"/>
          <w14:textFill>
            <w14:solidFill>
              <w14:schemeClr w14:val="tx1"/>
            </w14:solidFill>
          </w14:textFill>
        </w:rPr>
        <w:t>‰</w:t>
      </w:r>
      <w:r>
        <w:rPr>
          <w:rFonts w:hint="eastAsia" w:eastAsia="仿宋_GB2312" w:cs="仿宋_GB2312"/>
          <w:color w:val="000000" w:themeColor="text1"/>
          <w:sz w:val="30"/>
          <w:szCs w:val="32"/>
          <w:u w:val="single"/>
          <w:lang w:bidi="ar"/>
          <w14:textFill>
            <w14:solidFill>
              <w14:schemeClr w14:val="tx1"/>
            </w14:solidFill>
          </w14:textFill>
        </w:rPr>
        <w:t>计算，</w:t>
      </w:r>
      <w:r>
        <w:rPr>
          <w:rFonts w:eastAsia="仿宋_GB2312" w:cs="仿宋_GB2312"/>
          <w:color w:val="000000" w:themeColor="text1"/>
          <w:sz w:val="30"/>
          <w:szCs w:val="32"/>
          <w:u w:val="single"/>
          <w:lang w:bidi="ar"/>
          <w14:textFill>
            <w14:solidFill>
              <w14:schemeClr w14:val="tx1"/>
            </w14:solidFill>
          </w14:textFill>
        </w:rPr>
        <w:t>发包人并有权书面通知单方面解除未完成部分工程的合同。若某个节点未完成，但后续节点按期完成且不影响整体工程如期竣工验收合格，发包人可以向承包人无息返还之前未完成节点违约金，但造成发包人的损失部分不予免除。</w:t>
      </w:r>
    </w:p>
    <w:p>
      <w:pPr>
        <w:spacing w:line="360" w:lineRule="auto"/>
        <w:ind w:firstLine="600" w:firstLineChars="200"/>
        <w:rPr>
          <w:rFonts w:eastAsia="仿宋_GB2312" w:cs="仿宋_GB2312"/>
          <w:color w:val="000000"/>
          <w:sz w:val="30"/>
          <w:szCs w:val="32"/>
          <w:u w:val="single"/>
          <w:lang w:bidi="ar"/>
        </w:rPr>
      </w:pPr>
      <w:r>
        <w:rPr>
          <w:rFonts w:hint="eastAsia" w:eastAsia="仿宋_GB2312" w:cs="仿宋_GB2312"/>
          <w:color w:val="000000"/>
          <w:sz w:val="30"/>
          <w:szCs w:val="32"/>
          <w:u w:val="single"/>
          <w:lang w:bidi="ar"/>
        </w:rPr>
        <w:t>若承包人施工进度严重滞后且无有效抢工措施，施工进度无明显改善的，经发包人函告后仍未在通知的时间内积极采取有效措施达到现场进度要求的，发包人有权自行委托其他施工单位（第三方）替代施工，而不构成违约，承包人须无条件服从。第三方施工单位施工所发生的费用，由招标人书面认可即视为有效且承包人亦认可，最终由承包人承担，承担方式：承包人直接向第三方支付或由发包人代为支付，在承包人的竣工结算中对成本增加部分（双方价差）的予以扣减。</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7.6 </w:t>
      </w:r>
      <w:r>
        <w:rPr>
          <w:rFonts w:hint="eastAsia" w:eastAsia="黑体"/>
          <w:color w:val="000000" w:themeColor="text1"/>
          <w:sz w:val="30"/>
          <w:szCs w:val="32"/>
          <w14:textFill>
            <w14:solidFill>
              <w14:schemeClr w14:val="tx1"/>
            </w14:solidFill>
          </w14:textFill>
        </w:rPr>
        <w:t>不利物质条件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不利物质条件的其他情形和有关约定：</w:t>
      </w:r>
      <w:r>
        <w:rPr>
          <w:rFonts w:hint="eastAsia" w:eastAsia="仿宋_GB2312"/>
          <w:color w:val="000000" w:themeColor="text1"/>
          <w:sz w:val="30"/>
          <w:szCs w:val="32"/>
          <w:u w:val="single"/>
          <w14:textFill>
            <w14:solidFill>
              <w14:schemeClr w14:val="tx1"/>
            </w14:solidFill>
          </w14:textFill>
        </w:rPr>
        <w:t>不利物质条件发生时，承包人应在</w:t>
      </w:r>
      <w:r>
        <w:rPr>
          <w:rFonts w:eastAsia="仿宋_GB2312"/>
          <w:color w:val="000000" w:themeColor="text1"/>
          <w:sz w:val="30"/>
          <w:szCs w:val="32"/>
          <w:u w:val="single"/>
          <w14:textFill>
            <w14:solidFill>
              <w14:schemeClr w14:val="tx1"/>
            </w14:solidFill>
          </w14:textFill>
        </w:rPr>
        <w:t>24</w:t>
      </w:r>
      <w:r>
        <w:rPr>
          <w:rFonts w:hint="eastAsia" w:eastAsia="仿宋_GB2312"/>
          <w:color w:val="000000" w:themeColor="text1"/>
          <w:sz w:val="30"/>
          <w:szCs w:val="32"/>
          <w:u w:val="single"/>
          <w14:textFill>
            <w14:solidFill>
              <w14:schemeClr w14:val="tx1"/>
            </w14:solidFill>
          </w14:textFill>
        </w:rPr>
        <w:t>小时内通知监理人和发包人；收到通知</w:t>
      </w:r>
      <w:r>
        <w:rPr>
          <w:rFonts w:eastAsia="仿宋_GB2312"/>
          <w:color w:val="000000" w:themeColor="text1"/>
          <w:sz w:val="30"/>
          <w:szCs w:val="32"/>
          <w:u w:val="single"/>
          <w14:textFill>
            <w14:solidFill>
              <w14:schemeClr w14:val="tx1"/>
            </w14:solidFill>
          </w14:textFill>
        </w:rPr>
        <w:t>24</w:t>
      </w:r>
      <w:r>
        <w:rPr>
          <w:rFonts w:hint="eastAsia" w:eastAsia="仿宋_GB2312"/>
          <w:color w:val="000000" w:themeColor="text1"/>
          <w:sz w:val="30"/>
          <w:szCs w:val="32"/>
          <w:u w:val="single"/>
          <w14:textFill>
            <w14:solidFill>
              <w14:schemeClr w14:val="tx1"/>
            </w14:solidFill>
          </w14:textFill>
        </w:rPr>
        <w:t>小时内发包人完成核实并通过监理人发出指示</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7.7</w:t>
      </w:r>
      <w:r>
        <w:rPr>
          <w:rFonts w:hint="eastAsia" w:eastAsia="黑体"/>
          <w:color w:val="000000" w:themeColor="text1"/>
          <w:sz w:val="30"/>
          <w:szCs w:val="32"/>
          <w14:textFill>
            <w14:solidFill>
              <w14:schemeClr w14:val="tx1"/>
            </w14:solidFill>
          </w14:textFill>
        </w:rPr>
        <w:t>异常恶劣的气候条件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发包人和承包人同意以下情形视为异常恶劣的气候条件：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）风力：</w:t>
      </w:r>
      <w:r>
        <w:rPr>
          <w:rFonts w:eastAsia="仿宋_GB2312"/>
          <w:color w:val="000000" w:themeColor="text1"/>
          <w:sz w:val="30"/>
          <w:szCs w:val="32"/>
          <w14:textFill>
            <w14:solidFill>
              <w14:schemeClr w14:val="tx1"/>
            </w14:solidFill>
          </w14:textFill>
        </w:rPr>
        <w:t>八级以上持续24小时的大风</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）降雨：连续</w:t>
      </w:r>
      <w:r>
        <w:rPr>
          <w:rFonts w:eastAsia="仿宋_GB2312"/>
          <w:color w:val="000000" w:themeColor="text1"/>
          <w:sz w:val="30"/>
          <w:szCs w:val="32"/>
          <w14:textFill>
            <w14:solidFill>
              <w14:schemeClr w14:val="tx1"/>
            </w14:solidFill>
          </w14:textFill>
        </w:rPr>
        <w:t>3</w:t>
      </w:r>
      <w:r>
        <w:rPr>
          <w:rFonts w:hint="eastAsia" w:eastAsia="仿宋_GB2312"/>
          <w:color w:val="000000" w:themeColor="text1"/>
          <w:sz w:val="30"/>
          <w:szCs w:val="32"/>
          <w14:textFill>
            <w14:solidFill>
              <w14:schemeClr w14:val="tx1"/>
            </w14:solidFill>
          </w14:textFill>
        </w:rPr>
        <w:t>日</w:t>
      </w:r>
      <w:r>
        <w:rPr>
          <w:rFonts w:eastAsia="仿宋_GB2312"/>
          <w:color w:val="000000" w:themeColor="text1"/>
          <w:sz w:val="30"/>
          <w:szCs w:val="32"/>
          <w14:textFill>
            <w14:solidFill>
              <w14:schemeClr w14:val="tx1"/>
            </w14:solidFill>
          </w14:textFill>
        </w:rPr>
        <w:t>日降雨量超过100毫米</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3</w:t>
      </w:r>
      <w:r>
        <w:rPr>
          <w:rFonts w:hint="eastAsia" w:eastAsia="仿宋_GB2312"/>
          <w:color w:val="000000" w:themeColor="text1"/>
          <w:sz w:val="30"/>
          <w:szCs w:val="32"/>
          <w14:textFill>
            <w14:solidFill>
              <w14:schemeClr w14:val="tx1"/>
            </w14:solidFill>
          </w14:textFill>
        </w:rPr>
        <w:t>）降雪：暴雪红色预警且实际发生；</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（4）</w:t>
      </w:r>
      <w:r>
        <w:rPr>
          <w:rFonts w:eastAsia="仿宋_GB2312"/>
          <w:color w:val="000000" w:themeColor="text1"/>
          <w:sz w:val="30"/>
          <w:szCs w:val="32"/>
          <w14:textFill>
            <w14:solidFill>
              <w14:schemeClr w14:val="tx1"/>
            </w14:solidFill>
          </w14:textFill>
        </w:rPr>
        <w:t>省级气象部门发布的气象预报连续</w:t>
      </w:r>
      <w:r>
        <w:rPr>
          <w:rFonts w:hint="eastAsia" w:eastAsia="仿宋_GB2312"/>
          <w:color w:val="000000" w:themeColor="text1"/>
          <w:sz w:val="30"/>
          <w:szCs w:val="32"/>
          <w14:textFill>
            <w14:solidFill>
              <w14:schemeClr w14:val="tx1"/>
            </w14:solidFill>
          </w14:textFill>
        </w:rPr>
        <w:t>3</w:t>
      </w:r>
      <w:r>
        <w:rPr>
          <w:rFonts w:eastAsia="仿宋_GB2312"/>
          <w:color w:val="000000" w:themeColor="text1"/>
          <w:sz w:val="30"/>
          <w:szCs w:val="32"/>
          <w14:textFill>
            <w14:solidFill>
              <w14:schemeClr w14:val="tx1"/>
            </w14:solidFill>
          </w14:textFill>
        </w:rPr>
        <w:t>天40摄氏度以上</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需要主动采取合理措施处理异常恶劣的气候条件以继续施工，如果承包人没有采取合理措施，导致损失扩大，那么无权就损失扩大部分向发包人主张赔偿。同时，承包人要履行通知义务，通知监理人和发包人，并在通知中对异常恶劣的气候条件进行描述，并陈述其在签订合同时对该气候条件难以预见的理由。如果异常恶劣的气候条件发生在因承包人单方原因导致工期延误后的时间内，承包人在此种情况下无权要求发包人延长其工期及/或赔偿任何损失。</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7.9 </w:t>
      </w:r>
      <w:r>
        <w:rPr>
          <w:rFonts w:hint="eastAsia" w:eastAsia="黑体"/>
          <w:color w:val="000000" w:themeColor="text1"/>
          <w:sz w:val="30"/>
          <w:szCs w:val="32"/>
          <w14:textFill>
            <w14:solidFill>
              <w14:schemeClr w14:val="tx1"/>
            </w14:solidFill>
          </w14:textFill>
        </w:rPr>
        <w:t>提前竣工的奖励</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7.9.2</w:t>
      </w:r>
      <w:r>
        <w:rPr>
          <w:rFonts w:hint="eastAsia" w:eastAsia="仿宋_GB2312"/>
          <w:color w:val="000000" w:themeColor="text1"/>
          <w:sz w:val="30"/>
          <w:szCs w:val="32"/>
          <w14:textFill>
            <w14:solidFill>
              <w14:schemeClr w14:val="tx1"/>
            </w14:solidFill>
          </w14:textFill>
        </w:rPr>
        <w:t>提前竣工的奖励：</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pStyle w:val="8"/>
      </w:pPr>
      <w:r>
        <w:t xml:space="preserve">8. </w:t>
      </w:r>
      <w:r>
        <w:rPr>
          <w:rFonts w:hint="eastAsia"/>
        </w:rPr>
        <w:t>材料与设备</w:t>
      </w:r>
    </w:p>
    <w:p>
      <w:pPr>
        <w:pStyle w:val="9"/>
      </w:pPr>
      <w:r>
        <w:t>8.4</w:t>
      </w:r>
      <w:r>
        <w:rPr>
          <w:rFonts w:hint="eastAsia"/>
        </w:rPr>
        <w:t>材料与工程设备的保管与使用</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8.4.1</w:t>
      </w:r>
      <w:r>
        <w:rPr>
          <w:rFonts w:hint="eastAsia" w:eastAsia="仿宋_GB2312"/>
          <w:color w:val="000000" w:themeColor="text1"/>
          <w:sz w:val="30"/>
          <w:szCs w:val="32"/>
          <w14:textFill>
            <w14:solidFill>
              <w14:schemeClr w14:val="tx1"/>
            </w14:solidFill>
          </w14:textFill>
        </w:rPr>
        <w:t>发包人供应的材料设备的保管费用的承担：</w:t>
      </w:r>
      <w:r>
        <w:rPr>
          <w:rFonts w:hint="eastAsia" w:eastAsia="仿宋_GB2312"/>
          <w:color w:val="000000" w:themeColor="text1"/>
          <w:sz w:val="30"/>
          <w:szCs w:val="32"/>
          <w:u w:val="single"/>
          <w14:textFill>
            <w14:solidFill>
              <w14:schemeClr w14:val="tx1"/>
            </w14:solidFill>
          </w14:textFill>
        </w:rPr>
        <w:t>已包含在签约合同价中，由承包人承担</w:t>
      </w:r>
      <w:r>
        <w:rPr>
          <w:rFonts w:hint="eastAsia" w:eastAsia="仿宋_GB2312"/>
          <w:color w:val="000000" w:themeColor="text1"/>
          <w:sz w:val="30"/>
          <w:szCs w:val="32"/>
          <w14:textFill>
            <w14:solidFill>
              <w14:schemeClr w14:val="tx1"/>
            </w14:solidFill>
          </w14:textFill>
        </w:rPr>
        <w:t>。</w:t>
      </w:r>
    </w:p>
    <w:p>
      <w:pPr>
        <w:pStyle w:val="9"/>
      </w:pPr>
      <w:r>
        <w:t xml:space="preserve">8.6 </w:t>
      </w:r>
      <w:r>
        <w:rPr>
          <w:rFonts w:hint="eastAsia"/>
        </w:rPr>
        <w:t>样品</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8.6.1</w:t>
      </w:r>
      <w:r>
        <w:rPr>
          <w:rFonts w:eastAsia="仿宋_GB2312"/>
          <w:color w:val="000000" w:themeColor="text1"/>
          <w:kern w:val="0"/>
          <w:sz w:val="30"/>
          <w:szCs w:val="32"/>
          <w14:textFill>
            <w14:solidFill>
              <w14:schemeClr w14:val="tx1"/>
            </w14:solidFill>
          </w14:textFill>
        </w:rPr>
        <w:tab/>
      </w:r>
      <w:r>
        <w:rPr>
          <w:rFonts w:hint="eastAsia" w:eastAsia="仿宋_GB2312"/>
          <w:color w:val="000000" w:themeColor="text1"/>
          <w:kern w:val="0"/>
          <w:sz w:val="30"/>
          <w:szCs w:val="32"/>
          <w14:textFill>
            <w14:solidFill>
              <w14:schemeClr w14:val="tx1"/>
            </w14:solidFill>
          </w14:textFill>
        </w:rPr>
        <w:t>样品的报送与封存</w:t>
      </w:r>
    </w:p>
    <w:p>
      <w:pPr>
        <w:autoSpaceDE w:val="0"/>
        <w:autoSpaceDN w:val="0"/>
        <w:adjustRightInd w:val="0"/>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需要承包人报送样品的材料或工程设备，样品的种类、名称、规格、数量要求：</w:t>
      </w:r>
      <w:r>
        <w:rPr>
          <w:rFonts w:hint="eastAsia" w:eastAsia="仿宋_GB2312"/>
          <w:color w:val="000000" w:themeColor="text1"/>
          <w:sz w:val="30"/>
          <w:szCs w:val="32"/>
          <w:u w:val="single"/>
          <w14:textFill>
            <w14:solidFill>
              <w14:schemeClr w14:val="tx1"/>
            </w14:solidFill>
          </w14:textFill>
        </w:rPr>
        <w:t>本项目中所有使用的建筑装饰装修材料以及安装主要管材管件等均须经过发包人和监理人对样品进行书面审批确认后方可采购进场。承包人报送样品的材料或工程设备必须是原厂正品，若使用冒牌、贴牌产品，一经查处，须承担</w:t>
      </w:r>
      <w:r>
        <w:rPr>
          <w:rFonts w:eastAsia="仿宋_GB2312"/>
          <w:color w:val="000000" w:themeColor="text1"/>
          <w:sz w:val="30"/>
          <w:szCs w:val="32"/>
          <w:u w:val="single"/>
          <w14:textFill>
            <w14:solidFill>
              <w14:schemeClr w14:val="tx1"/>
            </w14:solidFill>
          </w14:textFill>
        </w:rPr>
        <w:t>100000元/次的违约金并承担因此给发包人造成的损失</w:t>
      </w:r>
      <w:r>
        <w:rPr>
          <w:rFonts w:hint="eastAsia" w:eastAsia="仿宋_GB2312"/>
          <w:color w:val="000000" w:themeColor="text1"/>
          <w:sz w:val="30"/>
          <w:szCs w:val="32"/>
          <w:u w:val="single"/>
          <w14:textFill>
            <w14:solidFill>
              <w14:schemeClr w14:val="tx1"/>
            </w14:solidFill>
          </w14:textFill>
        </w:rPr>
        <w:t>。</w:t>
      </w:r>
    </w:p>
    <w:p>
      <w:pPr>
        <w:pStyle w:val="9"/>
      </w:pPr>
      <w:r>
        <w:t>8.7材料与工程设备的替代</w:t>
      </w:r>
    </w:p>
    <w:p>
      <w:pPr>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主要设备及主要材料品牌按照附件</w:t>
      </w:r>
      <w:r>
        <w:rPr>
          <w:rFonts w:eastAsia="仿宋_GB2312"/>
          <w:color w:val="000000" w:themeColor="text1"/>
          <w:sz w:val="30"/>
          <w:szCs w:val="32"/>
          <w14:textFill>
            <w14:solidFill>
              <w14:schemeClr w14:val="tx1"/>
            </w14:solidFill>
          </w14:textFill>
        </w:rPr>
        <w:t>表中选择。投标文件中已按附件选择品牌的，按投标文件所报品牌执行；未按附件选择的，施工过程中必须按此表选择品牌；附表外其他材料，承包人在投标时明确品牌的必须使用投标品牌。另外，材料及设备必须是原厂生产，禁止使用委托第三人生产后贴牌的材料和设备，否则按不合格材料处理，承包人按合同条款承担违约责任。</w:t>
      </w:r>
    </w:p>
    <w:p>
      <w:pPr>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未经发包人批准，承包人不得擅自使用替代材料或工程设备，否则视为使用不合格材料，一经发现，无论本工程是否已经竣工或是否验收合格，发包人均有权要求承包人对其进行更换，并按照应该使用的材料及设备总价的</w:t>
      </w:r>
      <w:r>
        <w:rPr>
          <w:rFonts w:eastAsia="仿宋_GB2312"/>
          <w:color w:val="000000" w:themeColor="text1"/>
          <w:sz w:val="30"/>
          <w:szCs w:val="32"/>
          <w14:textFill>
            <w14:solidFill>
              <w14:schemeClr w14:val="tx1"/>
            </w14:solidFill>
          </w14:textFill>
        </w:rPr>
        <w:t>2倍向发包人承担违约金，因更换造成的工期延误和费用由承包人承担。在承包人完成更换之前，该部分工程款不予计入进度款或者进行结算。</w:t>
      </w:r>
    </w:p>
    <w:p>
      <w:pPr>
        <w:ind w:firstLine="675" w:firstLineChars="225"/>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w:t>
      </w:r>
      <w:r>
        <w:rPr>
          <w:rFonts w:hint="eastAsia" w:ascii="仿宋" w:hAnsi="仿宋" w:eastAsia="仿宋" w:cs="仿宋"/>
          <w:sz w:val="30"/>
          <w:szCs w:val="32"/>
        </w:rPr>
        <w:t>按市场差价据实调整。</w:t>
      </w:r>
    </w:p>
    <w:p>
      <w:pPr>
        <w:ind w:firstLine="675" w:firstLineChars="225"/>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根据项目需要，发包人有权自行将部分乙购材料、设备改为甲供，或将部分甲供材料、设备改为甲指乙购，价格调整按合同约定条款执行。发包人无需为上述采购方式的变化向承包人支付其他额外费用或者补偿，且工期不予顺延。</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8.8 </w:t>
      </w:r>
      <w:r>
        <w:rPr>
          <w:rFonts w:hint="eastAsia" w:eastAsia="黑体"/>
          <w:color w:val="000000" w:themeColor="text1"/>
          <w:sz w:val="30"/>
          <w:szCs w:val="32"/>
          <w14:textFill>
            <w14:solidFill>
              <w14:schemeClr w14:val="tx1"/>
            </w14:solidFill>
          </w14:textFill>
        </w:rPr>
        <w:t>施工设备和临时设施</w:t>
      </w:r>
    </w:p>
    <w:p>
      <w:pPr>
        <w:autoSpaceDE w:val="0"/>
        <w:autoSpaceDN w:val="0"/>
        <w:adjustRightInd w:val="0"/>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8.8.1 </w:t>
      </w:r>
      <w:r>
        <w:rPr>
          <w:rFonts w:hint="eastAsia" w:eastAsia="仿宋_GB2312"/>
          <w:color w:val="000000" w:themeColor="text1"/>
          <w:sz w:val="30"/>
          <w:szCs w:val="32"/>
          <w14:textFill>
            <w14:solidFill>
              <w14:schemeClr w14:val="tx1"/>
            </w14:solidFill>
          </w14:textFill>
        </w:rPr>
        <w:t>承包人提供的施工设备和临时设施</w:t>
      </w:r>
    </w:p>
    <w:p>
      <w:pPr>
        <w:autoSpaceDE w:val="0"/>
        <w:autoSpaceDN w:val="0"/>
        <w:adjustRightInd w:val="0"/>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关于修建临时设施费用承担的约定：</w:t>
      </w:r>
      <w:r>
        <w:rPr>
          <w:rFonts w:hint="eastAsia" w:eastAsia="仿宋_GB2312"/>
          <w:color w:val="000000" w:themeColor="text1"/>
          <w:sz w:val="30"/>
          <w:szCs w:val="32"/>
          <w:u w:val="single"/>
          <w14:textFill>
            <w14:solidFill>
              <w14:schemeClr w14:val="tx1"/>
            </w14:solidFill>
          </w14:textFill>
        </w:rPr>
        <w:t>承包人承担</w:t>
      </w:r>
      <w:r>
        <w:rPr>
          <w:rFonts w:hint="eastAsia" w:eastAsia="仿宋_GB2312"/>
          <w:color w:val="000000" w:themeColor="text1"/>
          <w:sz w:val="30"/>
          <w:szCs w:val="32"/>
          <w14:textFill>
            <w14:solidFill>
              <w14:schemeClr w14:val="tx1"/>
            </w14:solidFill>
          </w14:textFill>
        </w:rPr>
        <w:t>。</w:t>
      </w:r>
    </w:p>
    <w:p>
      <w:pPr>
        <w:pStyle w:val="8"/>
      </w:pPr>
      <w:r>
        <w:t xml:space="preserve">9. </w:t>
      </w:r>
      <w:r>
        <w:rPr>
          <w:rFonts w:hint="eastAsia"/>
        </w:rPr>
        <w:t>试验与检验</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9.1</w:t>
      </w:r>
      <w:r>
        <w:rPr>
          <w:rFonts w:hint="eastAsia" w:eastAsia="黑体"/>
          <w:color w:val="000000" w:themeColor="text1"/>
          <w:sz w:val="30"/>
          <w:szCs w:val="32"/>
          <w14:textFill>
            <w14:solidFill>
              <w14:schemeClr w14:val="tx1"/>
            </w14:solidFill>
          </w14:textFill>
        </w:rPr>
        <w:t>试验设备与试验人员</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9.1.2 </w:t>
      </w:r>
      <w:r>
        <w:rPr>
          <w:rFonts w:hint="eastAsia" w:eastAsia="仿宋_GB2312"/>
          <w:color w:val="000000" w:themeColor="text1"/>
          <w:sz w:val="30"/>
          <w:szCs w:val="32"/>
          <w14:textFill>
            <w14:solidFill>
              <w14:schemeClr w14:val="tx1"/>
            </w14:solidFill>
          </w14:textFill>
        </w:rPr>
        <w:t>试验设备</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施工现场需要配置的试验场所：</w:t>
      </w:r>
      <w:r>
        <w:rPr>
          <w:rFonts w:hint="eastAsia" w:eastAsia="仿宋_GB2312"/>
          <w:color w:val="000000" w:themeColor="text1"/>
          <w:sz w:val="30"/>
          <w:szCs w:val="32"/>
          <w:u w:val="single"/>
          <w14:textFill>
            <w14:solidFill>
              <w14:schemeClr w14:val="tx1"/>
            </w14:solidFill>
          </w14:textFill>
        </w:rPr>
        <w:t>施工单位自行考虑，满足工程需要</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施工现场需要配备的试验设备：</w:t>
      </w:r>
      <w:r>
        <w:rPr>
          <w:rFonts w:hint="eastAsia" w:eastAsia="仿宋_GB2312"/>
          <w:color w:val="000000" w:themeColor="text1"/>
          <w:sz w:val="30"/>
          <w:szCs w:val="32"/>
          <w:u w:val="single"/>
          <w14:textFill>
            <w14:solidFill>
              <w14:schemeClr w14:val="tx1"/>
            </w14:solidFill>
          </w14:textFill>
        </w:rPr>
        <w:t>施工单位自行考虑，满足工程需要</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施工现场需要具备的其他试验条件：</w:t>
      </w:r>
      <w:r>
        <w:rPr>
          <w:rFonts w:hint="eastAsia" w:eastAsia="仿宋_GB2312"/>
          <w:color w:val="000000" w:themeColor="text1"/>
          <w:sz w:val="30"/>
          <w:szCs w:val="32"/>
          <w:u w:val="single"/>
          <w14:textFill>
            <w14:solidFill>
              <w14:schemeClr w14:val="tx1"/>
            </w14:solidFill>
          </w14:textFill>
        </w:rPr>
        <w:t>施工单位自行考虑，满足工程需要</w:t>
      </w:r>
      <w:r>
        <w:rPr>
          <w:rFonts w:hint="eastAsia" w:eastAsia="仿宋_GB2312"/>
          <w:color w:val="000000" w:themeColor="text1"/>
          <w:sz w:val="30"/>
          <w:szCs w:val="32"/>
          <w14:textFill>
            <w14:solidFill>
              <w14:schemeClr w14:val="tx1"/>
            </w14:solidFill>
          </w14:textFill>
        </w:rPr>
        <w:t>。</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9.3材</w:t>
      </w:r>
      <w:r>
        <w:rPr>
          <w:rFonts w:hint="eastAsia" w:eastAsia="黑体"/>
          <w:color w:val="000000" w:themeColor="text1"/>
          <w:sz w:val="30"/>
          <w:szCs w:val="32"/>
          <w14:textFill>
            <w14:solidFill>
              <w14:schemeClr w14:val="tx1"/>
            </w14:solidFill>
          </w14:textFill>
        </w:rPr>
        <w:t>料、工程设备和工程的试验和检验</w:t>
      </w:r>
    </w:p>
    <w:p>
      <w:pPr>
        <w:spacing w:line="360" w:lineRule="auto"/>
        <w:ind w:left="17" w:leftChars="8" w:firstLine="618" w:firstLineChars="206"/>
        <w:rPr>
          <w:rFonts w:ascii="仿宋" w:hAnsi="仿宋" w:eastAsia="仿宋" w:cs="仿宋"/>
          <w:sz w:val="30"/>
          <w:szCs w:val="32"/>
          <w:u w:val="single"/>
        </w:rPr>
      </w:pPr>
      <w:r>
        <w:rPr>
          <w:rFonts w:hint="eastAsia" w:ascii="仿宋" w:hAnsi="仿宋" w:eastAsia="仿宋" w:cs="仿宋"/>
          <w:sz w:val="30"/>
          <w:szCs w:val="32"/>
          <w:u w:val="single"/>
        </w:rPr>
        <w:t>项目施工所有（不含甲供材料设备、甲分包部分）试验检测费用（包括但不限于见证取样复试、地基基础检测、主体结构检测、钢结构检测、空气质量检测、弱电检测、外墙保温系统型式检测、防雷检测、消防检测、沉降观测、焊缝检测、配电平台高低压设备的相关试验、各类流量计、能量计、温度压力传感器的校验（项目内部验收完移交时，计量装置必须在有效期内）等）均已综合考虑并包含在承包人投标总价中。根据《建设工程质量检测管理办法》第二十一条及《山东省住房和城乡建设厅关于压实建设单位工程质量首要责任的实施办法》，非建设单位委托的检测机构出具的检测报告不得作为工程质量验收资料。乙购材料设备的见证取样送检及施工专项检测（如焊缝探伤等），由发包人委托具有相应资质的第三方检测单位进行检测。若所发生的检测费用由发包人按检测委托合同支付的，在竣工结算时按实际发生检测总费用予以扣除。若所发生的检测费由发包人委托人直接垫付的，由承包人支付给发包人委托人。</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eastAsia="黑体"/>
          <w:color w:val="000000" w:themeColor="text1"/>
          <w:sz w:val="30"/>
          <w:szCs w:val="32"/>
          <w14:textFill>
            <w14:solidFill>
              <w14:schemeClr w14:val="tx1"/>
            </w14:solidFill>
          </w14:textFill>
        </w:rPr>
        <w:t xml:space="preserve">9.4 </w:t>
      </w:r>
      <w:r>
        <w:rPr>
          <w:rFonts w:hint="eastAsia" w:eastAsia="黑体"/>
          <w:color w:val="000000" w:themeColor="text1"/>
          <w:sz w:val="30"/>
          <w:szCs w:val="32"/>
          <w14:textFill>
            <w14:solidFill>
              <w14:schemeClr w14:val="tx1"/>
            </w14:solidFill>
          </w14:textFill>
        </w:rPr>
        <w:t>现场工艺试验</w:t>
      </w:r>
      <w:r>
        <w:rPr>
          <w:rFonts w:eastAsia="黑体"/>
          <w:color w:val="000000" w:themeColor="text1"/>
          <w:sz w:val="30"/>
          <w:szCs w:val="32"/>
          <w14:textFill>
            <w14:solidFill>
              <w14:schemeClr w14:val="tx1"/>
            </w14:solidFill>
          </w14:textFill>
        </w:rPr>
        <w:t xml:space="preserve"> </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现场工艺试验的有关约定：</w:t>
      </w:r>
      <w:r>
        <w:rPr>
          <w:rFonts w:hint="eastAsia" w:eastAsia="仿宋_GB2312"/>
          <w:color w:val="000000" w:themeColor="text1"/>
          <w:sz w:val="30"/>
          <w:szCs w:val="32"/>
          <w:u w:val="single"/>
          <w14:textFill>
            <w14:solidFill>
              <w14:schemeClr w14:val="tx1"/>
            </w14:solidFill>
          </w14:textFill>
        </w:rPr>
        <w:t>执行《通用合同条款》，满足国家相关验收规范规定、项目属地质量安全监督管理机构的要求，由承包人承担相应的费用，已包含在合同签约价中不单独计取</w:t>
      </w:r>
      <w:r>
        <w:rPr>
          <w:rFonts w:hint="eastAsia" w:eastAsia="仿宋_GB2312"/>
          <w:color w:val="000000" w:themeColor="text1"/>
          <w:sz w:val="30"/>
          <w:szCs w:val="32"/>
          <w14:textFill>
            <w14:solidFill>
              <w14:schemeClr w14:val="tx1"/>
            </w14:solidFill>
          </w14:textFill>
        </w:rPr>
        <w:t>。</w:t>
      </w:r>
    </w:p>
    <w:p>
      <w:pPr>
        <w:pStyle w:val="8"/>
      </w:pPr>
      <w:r>
        <w:t xml:space="preserve">10. </w:t>
      </w:r>
      <w:r>
        <w:rPr>
          <w:rFonts w:hint="eastAsia"/>
        </w:rPr>
        <w:t>变更</w:t>
      </w:r>
    </w:p>
    <w:p>
      <w:pPr>
        <w:spacing w:after="156" w:line="360" w:lineRule="auto"/>
        <w:ind w:firstLine="600" w:firstLineChars="200"/>
        <w:rPr>
          <w:rFonts w:eastAsia="黑体"/>
          <w:color w:val="000000" w:themeColor="text1"/>
          <w:sz w:val="30"/>
          <w:szCs w:val="32"/>
          <w:u w:val="single"/>
          <w14:textFill>
            <w14:solidFill>
              <w14:schemeClr w14:val="tx1"/>
            </w14:solidFill>
          </w14:textFill>
        </w:rPr>
      </w:pPr>
      <w:r>
        <w:rPr>
          <w:rFonts w:eastAsia="黑体"/>
          <w:color w:val="000000" w:themeColor="text1"/>
          <w:sz w:val="30"/>
          <w:szCs w:val="32"/>
          <w14:textFill>
            <w14:solidFill>
              <w14:schemeClr w14:val="tx1"/>
            </w14:solidFill>
          </w14:textFill>
        </w:rPr>
        <w:t>10.1</w:t>
      </w:r>
      <w:r>
        <w:rPr>
          <w:rFonts w:hint="eastAsia" w:eastAsia="黑体"/>
          <w:color w:val="000000" w:themeColor="text1"/>
          <w:sz w:val="30"/>
          <w:szCs w:val="32"/>
          <w14:textFill>
            <w14:solidFill>
              <w14:schemeClr w14:val="tx1"/>
            </w14:solidFill>
          </w14:textFill>
        </w:rPr>
        <w:t>变更的范围</w:t>
      </w:r>
    </w:p>
    <w:p>
      <w:pPr>
        <w:spacing w:line="360" w:lineRule="auto"/>
        <w:ind w:firstLine="6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关于变更的范围的约定：</w:t>
      </w:r>
      <w:r>
        <w:rPr>
          <w:rFonts w:hint="eastAsia" w:eastAsia="仿宋_GB2312"/>
          <w:color w:val="000000" w:themeColor="text1"/>
          <w:sz w:val="30"/>
          <w:szCs w:val="32"/>
          <w:u w:val="single"/>
          <w14:textFill>
            <w14:solidFill>
              <w14:schemeClr w14:val="tx1"/>
            </w14:solidFill>
          </w14:textFill>
        </w:rPr>
        <w:t>执行《通用合同条款》。</w:t>
      </w:r>
    </w:p>
    <w:p>
      <w:pPr>
        <w:pStyle w:val="9"/>
      </w:pPr>
      <w:r>
        <w:t>10.3</w:t>
      </w:r>
      <w:r>
        <w:rPr>
          <w:rFonts w:hint="eastAsia"/>
        </w:rPr>
        <w:t>变更程序</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承包人应遵守发包人制定的变更流程。变更指示应当由发包人以书面形式发出，发包人也可委托监理人向承包人发出变更指示。任何变更指示须经过发包人签字盖章确认后方才有效。根据发包人需要，承包人须在发包人发出通知后</w:t>
      </w:r>
      <w:r>
        <w:rPr>
          <w:rFonts w:eastAsia="仿宋_GB2312"/>
          <w:color w:val="000000" w:themeColor="text1"/>
          <w:sz w:val="30"/>
          <w:szCs w:val="32"/>
          <w:u w:val="single"/>
          <w14:textFill>
            <w14:solidFill>
              <w14:schemeClr w14:val="tx1"/>
            </w14:solidFill>
          </w14:textFill>
        </w:rPr>
        <w:t>2日内递交拟实施变更部分有关的费用预算。</w:t>
      </w:r>
    </w:p>
    <w:p>
      <w:pPr>
        <w:spacing w:line="360" w:lineRule="auto"/>
        <w:ind w:firstLine="600" w:firstLineChars="200"/>
        <w:jc w:val="left"/>
        <w:rPr>
          <w:color w:val="000000" w:themeColor="text1"/>
          <w:sz w:val="30"/>
          <w14:textFill>
            <w14:solidFill>
              <w14:schemeClr w14:val="tx1"/>
            </w14:solidFill>
          </w14:textFill>
        </w:rPr>
      </w:pPr>
      <w:r>
        <w:rPr>
          <w:rFonts w:ascii="仿宋" w:hAnsi="仿宋"/>
          <w:color w:val="000000" w:themeColor="text1"/>
          <w:sz w:val="30"/>
          <w14:textFill>
            <w14:solidFill>
              <w14:schemeClr w14:val="tx1"/>
            </w14:solidFill>
          </w14:textFill>
        </w:rPr>
        <w:t xml:space="preserve">10.3.3 </w:t>
      </w:r>
      <w:r>
        <w:rPr>
          <w:rFonts w:hint="eastAsia" w:ascii="仿宋" w:hAnsi="仿宋"/>
          <w:color w:val="000000" w:themeColor="text1"/>
          <w:sz w:val="30"/>
          <w14:textFill>
            <w14:solidFill>
              <w14:schemeClr w14:val="tx1"/>
            </w14:solidFill>
          </w14:textFill>
        </w:rPr>
        <w:t>变更执行</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承包人收到书面变更执行实施的指示后，应立即按变更指示进行变更工作，承包人不得以发包人和承包人之间未能就变更计价达成一致意见而拒绝实施变更工作，由此造成的工期延误和一切损失由承包人承担。</w:t>
      </w:r>
    </w:p>
    <w:p>
      <w:pPr>
        <w:pStyle w:val="9"/>
      </w:pPr>
      <w:r>
        <w:t xml:space="preserve">10.4 </w:t>
      </w:r>
      <w:r>
        <w:rPr>
          <w:rFonts w:hint="eastAsia"/>
        </w:rPr>
        <w:t>变更估价</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10.4.1 </w:t>
      </w:r>
      <w:r>
        <w:rPr>
          <w:rFonts w:hint="eastAsia" w:eastAsia="仿宋_GB2312"/>
          <w:color w:val="000000" w:themeColor="text1"/>
          <w:sz w:val="30"/>
          <w:szCs w:val="32"/>
          <w14:textFill>
            <w14:solidFill>
              <w14:schemeClr w14:val="tx1"/>
            </w14:solidFill>
          </w14:textFill>
        </w:rPr>
        <w:t>变更估价原则</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关于变更估价的约定</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1）如发生与原子项相同的清单项，以</w:t>
      </w:r>
      <w:r>
        <w:rPr>
          <w:rFonts w:hint="eastAsia" w:eastAsia="仿宋_GB2312"/>
          <w:color w:val="000000" w:themeColor="text1"/>
          <w:sz w:val="30"/>
          <w:szCs w:val="32"/>
          <w:u w:val="single"/>
          <w14:textFill>
            <w14:solidFill>
              <w14:schemeClr w14:val="tx1"/>
            </w14:solidFill>
          </w14:textFill>
        </w:rPr>
        <w:t>承包人开标修正后的已标价工程量清单中已有综合单价（按合同协议书约定同比例下浮后）</w:t>
      </w:r>
      <w:r>
        <w:rPr>
          <w:rFonts w:eastAsia="仿宋_GB2312"/>
          <w:color w:val="000000" w:themeColor="text1"/>
          <w:sz w:val="30"/>
          <w:szCs w:val="32"/>
          <w:u w:val="single"/>
          <w14:textFill>
            <w14:solidFill>
              <w14:schemeClr w14:val="tx1"/>
            </w14:solidFill>
          </w14:textFill>
        </w:rPr>
        <w:t>乘以工程量进行结算。</w:t>
      </w:r>
    </w:p>
    <w:p>
      <w:pPr>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2）如发生与原子项相类似的清单项，新增清单项的消耗量按原子项执行</w:t>
      </w:r>
      <w:r>
        <w:rPr>
          <w:rFonts w:hint="eastAsia" w:eastAsia="仿宋_GB2312"/>
          <w:color w:val="000000" w:themeColor="text1"/>
          <w:sz w:val="30"/>
          <w:szCs w:val="32"/>
          <w:u w:val="single"/>
          <w14:textFill>
            <w14:solidFill>
              <w14:schemeClr w14:val="tx1"/>
            </w14:solidFill>
          </w14:textFill>
        </w:rPr>
        <w:t>（高于定额含量的按定额含量执行、低于定额含量的按原投标含量执行）；新增清单项的人工、机械单价执行原子项单价，开标修正后的已标价工程量清单中已有价格的材料执行已有清单价格，开标修正后的已标价工程量清单中没有价格的主要材料按照发包人、监理人确认的价格执行；管理费、利润等组成综合单价的其他因素均不作调整。按以上原则生成新综合单价并按合同协议书约定原则同比例下浮后，以实际工程量据实结算。</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3）非以上（1）、（2）两种情况，按照以下原则据实结算：</w:t>
      </w:r>
    </w:p>
    <w:p>
      <w:pPr>
        <w:pStyle w:val="18"/>
        <w:ind w:firstLine="600" w:firstLineChars="200"/>
        <w:rPr>
          <w:rFonts w:ascii="仿宋" w:hAnsi="仿宋" w:eastAsia="仿宋" w:cs="仿宋"/>
          <w:color w:val="000000" w:themeColor="text1"/>
          <w:sz w:val="30"/>
          <w:szCs w:val="30"/>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fldChar w:fldCharType="begin"/>
      </w:r>
      <w:r>
        <w:rPr>
          <w:rFonts w:eastAsia="仿宋_GB2312"/>
          <w:color w:val="000000" w:themeColor="text1"/>
          <w:sz w:val="30"/>
          <w:szCs w:val="32"/>
          <w:u w:val="single"/>
          <w14:textFill>
            <w14:solidFill>
              <w14:schemeClr w14:val="tx1"/>
            </w14:solidFill>
          </w14:textFill>
        </w:rPr>
        <w:instrText xml:space="preserve"> = 1 \* GB3 \* MERGEFORMAT </w:instrText>
      </w:r>
      <w:r>
        <w:rPr>
          <w:rFonts w:hint="eastAsia" w:eastAsia="仿宋_GB2312"/>
          <w:color w:val="000000" w:themeColor="text1"/>
          <w:sz w:val="30"/>
          <w:szCs w:val="32"/>
          <w:u w:val="single"/>
          <w14:textFill>
            <w14:solidFill>
              <w14:schemeClr w14:val="tx1"/>
            </w14:solidFill>
          </w14:textFill>
        </w:rPr>
        <w:fldChar w:fldCharType="separate"/>
      </w:r>
      <w:r>
        <w:rPr>
          <w:rFonts w:hint="eastAsia" w:eastAsia="仿宋_GB2312"/>
          <w:color w:val="000000" w:themeColor="text1"/>
          <w:sz w:val="30"/>
          <w:szCs w:val="32"/>
          <w:u w:val="single"/>
          <w14:textFill>
            <w14:solidFill>
              <w14:schemeClr w14:val="tx1"/>
            </w14:solidFill>
          </w14:textFill>
        </w:rPr>
        <w:t>①</w:t>
      </w:r>
      <w:r>
        <w:rPr>
          <w:rFonts w:hint="eastAsia" w:eastAsia="仿宋_GB2312"/>
          <w:color w:val="000000" w:themeColor="text1"/>
          <w:sz w:val="30"/>
          <w:szCs w:val="32"/>
          <w:u w:val="single"/>
          <w14:textFill>
            <w14:solidFill>
              <w14:schemeClr w14:val="tx1"/>
            </w14:solidFill>
          </w14:textFill>
        </w:rPr>
        <w:fldChar w:fldCharType="end"/>
      </w:r>
      <w:r>
        <w:rPr>
          <w:rFonts w:hint="eastAsia" w:eastAsia="仿宋_GB2312"/>
          <w:color w:val="000000" w:themeColor="text1"/>
          <w:sz w:val="30"/>
          <w:szCs w:val="32"/>
          <w:u w:val="single"/>
          <w14:textFill>
            <w14:solidFill>
              <w14:schemeClr w14:val="tx1"/>
            </w14:solidFill>
          </w14:textFill>
        </w:rPr>
        <w:t>计价依据：</w:t>
      </w:r>
      <w:r>
        <w:rPr>
          <w:rFonts w:hint="eastAsia" w:ascii="仿宋" w:hAnsi="仿宋" w:eastAsia="仿宋" w:cs="仿宋"/>
          <w:color w:val="000000" w:themeColor="text1"/>
          <w:sz w:val="30"/>
          <w:szCs w:val="30"/>
          <w:u w:val="single"/>
          <w14:textFill>
            <w14:solidFill>
              <w14:schemeClr w14:val="tx1"/>
            </w14:solidFill>
          </w14:textFill>
        </w:rPr>
        <w:t>2016版《山东省建筑工程消耗量定额》、2016版《山东省安装工程消耗量定额》、2016版《山东省市政工程消耗量定额》、2016版《山东省园林绿化工程消耗量定额》及相应2020版价目表；2020版《山东省房屋修缮工程消耗量定额》及2021版价目表；</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begin"/>
      </w:r>
      <w:r>
        <w:rPr>
          <w:rFonts w:ascii="仿宋_GB2312" w:hAnsi="仿宋_GB2312" w:eastAsia="仿宋_GB2312" w:cs="仿宋_GB2312"/>
          <w:color w:val="000000" w:themeColor="text1"/>
          <w:sz w:val="30"/>
          <w:szCs w:val="30"/>
          <w:u w:val="single"/>
          <w14:textFill>
            <w14:solidFill>
              <w14:schemeClr w14:val="tx1"/>
            </w14:solidFill>
          </w14:textFill>
        </w:rPr>
        <w:instrText xml:space="preserve"> = 2 \* GB3 \* MERGEFORMAT </w:instrTex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separate"/>
      </w:r>
      <w:r>
        <w:rPr>
          <w:rFonts w:hint="eastAsia" w:ascii="仿宋_GB2312" w:hAnsi="仿宋_GB2312" w:eastAsia="仿宋_GB2312" w:cs="仿宋_GB2312"/>
          <w:color w:val="000000" w:themeColor="text1"/>
          <w:sz w:val="30"/>
          <w:szCs w:val="30"/>
          <w:u w:val="single"/>
          <w14:textFill>
            <w14:solidFill>
              <w14:schemeClr w14:val="tx1"/>
            </w14:solidFill>
          </w14:textFill>
        </w:rPr>
        <w:t>②</w: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end"/>
      </w:r>
      <w:r>
        <w:rPr>
          <w:rFonts w:hint="eastAsia" w:ascii="仿宋_GB2312" w:hAnsi="仿宋_GB2312" w:eastAsia="仿宋_GB2312" w:cs="仿宋_GB2312"/>
          <w:color w:val="000000" w:themeColor="text1"/>
          <w:sz w:val="30"/>
          <w:szCs w:val="30"/>
          <w:u w:val="single"/>
          <w14:textFill>
            <w14:solidFill>
              <w14:schemeClr w14:val="tx1"/>
            </w14:solidFill>
          </w14:textFill>
        </w:rPr>
        <w:t>工程类别：建筑执行Ⅲ类取费，安装执行工业安装取费，装饰执行Ⅲ类取费，市政执行Ⅲ</w:t>
      </w:r>
      <w:r>
        <w:rPr>
          <w:rFonts w:ascii="仿宋_GB2312" w:hAnsi="仿宋_GB2312" w:eastAsia="仿宋_GB2312" w:cs="仿宋_GB2312"/>
          <w:color w:val="000000" w:themeColor="text1"/>
          <w:sz w:val="30"/>
          <w:szCs w:val="30"/>
          <w:u w:val="single"/>
          <w14:textFill>
            <w14:solidFill>
              <w14:schemeClr w14:val="tx1"/>
            </w14:solidFill>
          </w14:textFill>
        </w:rPr>
        <w:t>类取费；</w:t>
      </w:r>
    </w:p>
    <w:p>
      <w:pPr>
        <w:pStyle w:val="18"/>
        <w:ind w:firstLine="600" w:firstLineChars="200"/>
        <w:rPr>
          <w:rFonts w:eastAsia="仿宋_GB2312"/>
          <w:color w:val="000000" w:themeColor="text1"/>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begin"/>
      </w:r>
      <w:r>
        <w:rPr>
          <w:rFonts w:ascii="仿宋_GB2312" w:hAnsi="仿宋_GB2312" w:eastAsia="仿宋_GB2312" w:cs="仿宋_GB2312"/>
          <w:color w:val="000000" w:themeColor="text1"/>
          <w:sz w:val="30"/>
          <w:szCs w:val="30"/>
          <w:u w:val="single"/>
          <w14:textFill>
            <w14:solidFill>
              <w14:schemeClr w14:val="tx1"/>
            </w14:solidFill>
          </w14:textFill>
        </w:rPr>
        <w:instrText xml:space="preserve"> = 3 \* GB3 \* MERGEFORMAT </w:instrTex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separate"/>
      </w:r>
      <w:r>
        <w:rPr>
          <w:rFonts w:hint="eastAsia" w:ascii="仿宋_GB2312" w:hAnsi="仿宋_GB2312" w:eastAsia="仿宋_GB2312" w:cs="仿宋_GB2312"/>
          <w:color w:val="000000" w:themeColor="text1"/>
          <w:sz w:val="30"/>
          <w:szCs w:val="30"/>
          <w:u w:val="single"/>
          <w14:textFill>
            <w14:solidFill>
              <w14:schemeClr w14:val="tx1"/>
            </w14:solidFill>
          </w14:textFill>
        </w:rPr>
        <w:t>③</w: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end"/>
      </w:r>
      <w:r>
        <w:rPr>
          <w:rFonts w:hint="eastAsia" w:ascii="仿宋_GB2312" w:hAnsi="仿宋_GB2312" w:eastAsia="仿宋_GB2312" w:cs="仿宋_GB2312"/>
          <w:color w:val="000000" w:themeColor="text1"/>
          <w:sz w:val="30"/>
          <w:szCs w:val="30"/>
          <w:u w:val="single"/>
          <w14:textFill>
            <w14:solidFill>
              <w14:schemeClr w14:val="tx1"/>
            </w14:solidFill>
          </w14:textFill>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等），仅规格型号发生变更的，变更后仅调整不同规格型号的材料市场价差。</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begin"/>
      </w:r>
      <w:r>
        <w:rPr>
          <w:rFonts w:ascii="仿宋_GB2312" w:hAnsi="仿宋_GB2312" w:eastAsia="仿宋_GB2312" w:cs="仿宋_GB2312"/>
          <w:color w:val="000000" w:themeColor="text1"/>
          <w:sz w:val="30"/>
          <w:szCs w:val="30"/>
          <w:u w:val="single"/>
          <w14:textFill>
            <w14:solidFill>
              <w14:schemeClr w14:val="tx1"/>
            </w14:solidFill>
          </w14:textFill>
        </w:rPr>
        <w:instrText xml:space="preserve"> = 4 \* GB3 \* MERGEFORMAT </w:instrTex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separate"/>
      </w:r>
      <w:r>
        <w:rPr>
          <w:rFonts w:hint="eastAsia" w:ascii="仿宋_GB2312" w:hAnsi="仿宋_GB2312" w:eastAsia="仿宋_GB2312" w:cs="仿宋_GB2312"/>
          <w:color w:val="000000" w:themeColor="text1"/>
          <w:sz w:val="30"/>
          <w:szCs w:val="30"/>
          <w:u w:val="single"/>
          <w14:textFill>
            <w14:solidFill>
              <w14:schemeClr w14:val="tx1"/>
            </w14:solidFill>
          </w14:textFill>
        </w:rPr>
        <w:t>④</w:t>
      </w:r>
      <w:r>
        <w:rPr>
          <w:rFonts w:hint="eastAsia" w:ascii="仿宋_GB2312" w:hAnsi="仿宋_GB2312" w:eastAsia="仿宋_GB2312" w:cs="仿宋_GB2312"/>
          <w:color w:val="000000" w:themeColor="text1"/>
          <w:sz w:val="30"/>
          <w:szCs w:val="30"/>
          <w:u w:val="single"/>
          <w14:textFill>
            <w14:solidFill>
              <w14:schemeClr w14:val="tx1"/>
            </w14:solidFill>
          </w14:textFill>
        </w:rPr>
        <w:fldChar w:fldCharType="end"/>
      </w:r>
      <w:r>
        <w:rPr>
          <w:rFonts w:hint="eastAsia" w:ascii="仿宋_GB2312" w:hAnsi="仿宋_GB2312" w:eastAsia="仿宋_GB2312" w:cs="仿宋_GB2312"/>
          <w:color w:val="000000" w:themeColor="text1"/>
          <w:sz w:val="30"/>
          <w:szCs w:val="30"/>
          <w:u w:val="single"/>
          <w14:textFill>
            <w14:solidFill>
              <w14:schemeClr w14:val="tx1"/>
            </w14:solidFill>
          </w14:textFill>
        </w:rPr>
        <w:t>承包人按上述原则就清单外工作内容</w:t>
      </w:r>
      <w:r>
        <w:rPr>
          <w:rFonts w:hint="eastAsia" w:ascii="仿宋_GB2312" w:hAnsi="仿宋_GB2312" w:eastAsia="仿宋_GB2312" w:cs="仿宋_GB2312"/>
          <w:sz w:val="30"/>
          <w:szCs w:val="30"/>
          <w:u w:val="single"/>
        </w:rPr>
        <w:t>按总造价最终优惠率</w:t>
      </w:r>
      <w:r>
        <w:rPr>
          <w:rFonts w:hint="eastAsia" w:ascii="仿宋_GB2312" w:hAnsi="仿宋_GB2312" w:eastAsia="仿宋_GB2312" w:cs="仿宋_GB2312"/>
          <w:color w:val="000000" w:themeColor="text1"/>
          <w:sz w:val="30"/>
          <w:szCs w:val="30"/>
          <w:u w:val="single"/>
          <w14:textFill>
            <w14:solidFill>
              <w14:schemeClr w14:val="tx1"/>
            </w14:solidFill>
          </w14:textFill>
        </w:rPr>
        <w:t>（即让利</w:t>
      </w:r>
      <w:r>
        <w:rPr>
          <w:rFonts w:ascii="仿宋_GB2312" w:hAnsi="仿宋_GB2312" w:eastAsia="仿宋_GB2312" w:cs="仿宋_GB2312"/>
          <w:color w:val="000000" w:themeColor="text1"/>
          <w:sz w:val="30"/>
          <w:szCs w:val="30"/>
          <w:u w:val="single"/>
          <w14:textFill>
            <w14:solidFill>
              <w14:schemeClr w14:val="tx1"/>
            </w14:solidFill>
          </w14:textFill>
        </w:rPr>
        <w:t>）</w:t>
      </w:r>
      <w:r>
        <w:rPr>
          <w:rFonts w:hint="eastAsia" w:ascii="仿宋_GB2312" w:hAnsi="仿宋_GB2312" w:eastAsia="仿宋_GB2312" w:cs="仿宋_GB2312"/>
          <w:color w:val="000000" w:themeColor="text1"/>
          <w:sz w:val="30"/>
          <w:szCs w:val="30"/>
          <w:u w:val="single"/>
          <w14:textFill>
            <w14:solidFill>
              <w14:schemeClr w14:val="tx1"/>
            </w14:solidFill>
          </w14:textFill>
        </w:rPr>
        <w:t>【5】</w:t>
      </w:r>
      <w:r>
        <w:rPr>
          <w:rFonts w:ascii="仿宋_GB2312" w:hAnsi="仿宋_GB2312" w:eastAsia="仿宋_GB2312" w:cs="仿宋_GB2312"/>
          <w:color w:val="000000" w:themeColor="text1"/>
          <w:sz w:val="30"/>
          <w:szCs w:val="30"/>
          <w:u w:val="single"/>
          <w14:textFill>
            <w14:solidFill>
              <w14:schemeClr w14:val="tx1"/>
            </w14:solidFill>
          </w14:textFill>
        </w:rPr>
        <w:t>%</w:t>
      </w:r>
      <w:r>
        <w:rPr>
          <w:rFonts w:hint="eastAsia" w:ascii="仿宋_GB2312" w:hAnsi="仿宋_GB2312" w:eastAsia="仿宋_GB2312" w:cs="仿宋_GB2312"/>
          <w:color w:val="000000" w:themeColor="text1"/>
          <w:sz w:val="30"/>
          <w:szCs w:val="30"/>
          <w:u w:val="single"/>
          <w14:textFill>
            <w14:solidFill>
              <w14:schemeClr w14:val="tx1"/>
            </w14:solidFill>
          </w14:textFill>
        </w:rPr>
        <w:t>；但经招标人审核签认的计入设备费的设备价格不参与让利（材料和设备划分标准执行《建筑工程计价设备材料划分标准》GB/T50531-2009）。</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w:t>
      </w:r>
      <w:r>
        <w:rPr>
          <w:rFonts w:ascii="仿宋_GB2312" w:hAnsi="仿宋_GB2312" w:eastAsia="仿宋_GB2312" w:cs="仿宋_GB2312"/>
          <w:color w:val="000000" w:themeColor="text1"/>
          <w:sz w:val="30"/>
          <w:szCs w:val="30"/>
          <w:u w:val="single"/>
          <w14:textFill>
            <w14:solidFill>
              <w14:schemeClr w14:val="tx1"/>
            </w14:solidFill>
          </w14:textFill>
        </w:rPr>
        <w:t>4）非以上（1）、（2）、（3）三种情况，由承包人事前提出书面报价，由发包人按照规定程序审批后确定单价，以实际工程量结算。</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 w:hAnsi="仿宋" w:eastAsia="仿宋" w:cs="仿宋"/>
          <w:color w:val="000000" w:themeColor="text1"/>
          <w:sz w:val="30"/>
          <w:szCs w:val="30"/>
          <w:u w:val="single"/>
          <w14:textFill>
            <w14:solidFill>
              <w14:schemeClr w14:val="tx1"/>
            </w14:solidFill>
          </w14:textFill>
        </w:rPr>
        <w:t>（</w:t>
      </w:r>
      <w:r>
        <w:rPr>
          <w:rFonts w:ascii="仿宋_GB2312" w:hAnsi="仿宋_GB2312" w:eastAsia="仿宋_GB2312" w:cs="仿宋_GB2312"/>
          <w:color w:val="000000" w:themeColor="text1"/>
          <w:sz w:val="30"/>
          <w:szCs w:val="30"/>
          <w:u w:val="single"/>
          <w14:textFill>
            <w14:solidFill>
              <w14:schemeClr w14:val="tx1"/>
            </w14:solidFill>
          </w14:textFill>
        </w:rPr>
        <w:t>5）按上述原则组成的新综合单价，明显偏离市场价时，发包人有权利对其价格进行调整。</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w:t>
      </w:r>
      <w:r>
        <w:rPr>
          <w:rFonts w:ascii="仿宋_GB2312" w:hAnsi="仿宋_GB2312" w:eastAsia="仿宋_GB2312" w:cs="仿宋_GB2312"/>
          <w:color w:val="000000" w:themeColor="text1"/>
          <w:sz w:val="30"/>
          <w:szCs w:val="30"/>
          <w:u w:val="single"/>
          <w14:textFill>
            <w14:solidFill>
              <w14:schemeClr w14:val="tx1"/>
            </w14:solidFill>
          </w14:textFill>
        </w:rPr>
        <w:t>6）招标文件或其他有关文件中所列材料暂定价按照发包人书面确定的价格进行调整。</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w:t>
      </w:r>
      <w:r>
        <w:rPr>
          <w:rFonts w:ascii="仿宋_GB2312" w:hAnsi="仿宋_GB2312" w:eastAsia="仿宋_GB2312" w:cs="仿宋_GB2312"/>
          <w:color w:val="000000" w:themeColor="text1"/>
          <w:sz w:val="30"/>
          <w:szCs w:val="30"/>
          <w:u w:val="single"/>
          <w14:textFill>
            <w14:solidFill>
              <w14:schemeClr w14:val="tx1"/>
            </w14:solidFill>
          </w14:textFill>
        </w:rPr>
        <w:t>7）</w:t>
      </w:r>
      <w:r>
        <w:rPr>
          <w:rFonts w:hint="eastAsia" w:ascii="仿宋_GB2312" w:hAnsi="仿宋_GB2312" w:eastAsia="仿宋_GB2312" w:cs="仿宋_GB2312"/>
          <w:color w:val="000000" w:themeColor="text1"/>
          <w:sz w:val="30"/>
          <w:szCs w:val="30"/>
          <w:u w:val="single"/>
          <w14:textFill>
            <w14:solidFill>
              <w14:schemeClr w14:val="tx1"/>
            </w14:solidFill>
          </w14:textFill>
        </w:rPr>
        <w:t>因变更或其它情况（除本条后面另行约定外）导致实际完成的工程量与预算书或工程量清单中有变化时，综合单价不予调整。但当实际完成的工程量比已标价工程量清单载明的工程量增加超过15%，且发包人发现承包人的已标价工程量清单相关清单子目中存在异常偏高的，超出已标价工程量清单载明的工程量15%的部分，发包人有权对异常偏高的综合单价进行修正，并按修正后的综合单价进行竣工结算。异常偏高是指清单综合单价（下浮后）与发包人按照10.4.1（变更估价原则）第（3）条约定而确定的综合单价高出50%及以上，发包人有权对异常偏高的综合单价按照10.4.1第（3）条进行修正。</w:t>
      </w:r>
    </w:p>
    <w:p>
      <w:pPr>
        <w:spacing w:line="360" w:lineRule="auto"/>
        <w:ind w:firstLine="600" w:firstLineChars="200"/>
        <w:rPr>
          <w:rFonts w:ascii="仿宋" w:hAnsi="仿宋" w:eastAsia="仿宋" w:cs="仿宋"/>
          <w:i/>
          <w:iCs/>
          <w:color w:val="000000" w:themeColor="text1"/>
          <w:sz w:val="30"/>
          <w:szCs w:val="30"/>
          <w:u w:val="single"/>
          <w14:textFill>
            <w14:solidFill>
              <w14:schemeClr w14:val="tx1"/>
            </w14:solidFill>
          </w14:textFill>
        </w:rPr>
      </w:pPr>
      <w:r>
        <w:rPr>
          <w:rFonts w:hint="eastAsia" w:ascii="仿宋" w:hAnsi="仿宋" w:eastAsia="仿宋" w:cs="仿宋"/>
          <w:color w:val="000000" w:themeColor="text1"/>
          <w:sz w:val="30"/>
          <w:szCs w:val="30"/>
          <w:u w:val="single"/>
          <w14:textFill>
            <w14:solidFill>
              <w14:schemeClr w14:val="tx1"/>
            </w14:solidFill>
          </w14:textFill>
        </w:rPr>
        <w:t>（</w:t>
      </w:r>
      <w:r>
        <w:rPr>
          <w:rFonts w:ascii="仿宋" w:hAnsi="仿宋" w:eastAsia="仿宋" w:cs="仿宋"/>
          <w:color w:val="000000" w:themeColor="text1"/>
          <w:sz w:val="30"/>
          <w:szCs w:val="30"/>
          <w:u w:val="single"/>
          <w14:textFill>
            <w14:solidFill>
              <w14:schemeClr w14:val="tx1"/>
            </w14:solidFill>
          </w14:textFill>
        </w:rPr>
        <w:t>8）</w:t>
      </w:r>
      <w:r>
        <w:rPr>
          <w:rFonts w:hint="eastAsia" w:ascii="仿宋" w:hAnsi="仿宋" w:eastAsia="仿宋" w:cs="仿宋"/>
          <w:sz w:val="30"/>
          <w:szCs w:val="30"/>
          <w:u w:val="single"/>
        </w:rPr>
        <w:t>承包人已对拟建工程（含设计变更及工程量变化）可能发生的措施项目和措施费用作通盘考虑，清单计价一经报出即被认为是包括了所有应该发生的措施项目的全部费用。如果报出的清单中没有列项，而施工中又必须发生的项目，发包人有权认为，其已经综合在分部分项工程量清单的综合单价中。将来措施项目发生时承包人不得以任何借口提出索赔与调整，中标清单措施费包干使用，均不作任何调整。</w:t>
      </w:r>
    </w:p>
    <w:p>
      <w:pPr>
        <w:spacing w:line="360" w:lineRule="auto"/>
        <w:ind w:firstLine="600" w:firstLineChars="200"/>
        <w:rPr>
          <w:rFonts w:ascii="仿宋" w:hAnsi="仿宋" w:eastAsia="仿宋" w:cs="仿宋"/>
          <w:i/>
          <w:iCs/>
          <w:color w:val="000000" w:themeColor="text1"/>
          <w:sz w:val="30"/>
          <w:szCs w:val="30"/>
          <w:u w:val="single"/>
          <w14:textFill>
            <w14:solidFill>
              <w14:schemeClr w14:val="tx1"/>
            </w14:solidFill>
          </w14:textFill>
        </w:rPr>
      </w:pPr>
      <w:r>
        <w:rPr>
          <w:rFonts w:hint="eastAsia" w:ascii="仿宋" w:hAnsi="仿宋" w:eastAsia="仿宋" w:cs="仿宋"/>
          <w:color w:val="000000" w:themeColor="text1"/>
          <w:sz w:val="30"/>
          <w:szCs w:val="30"/>
          <w:u w:val="single"/>
          <w14:textFill>
            <w14:solidFill>
              <w14:schemeClr w14:val="tx1"/>
            </w14:solidFill>
          </w14:textFill>
        </w:rPr>
        <w:t>（</w:t>
      </w:r>
      <w:r>
        <w:rPr>
          <w:rFonts w:ascii="仿宋" w:hAnsi="仿宋" w:eastAsia="仿宋" w:cs="仿宋"/>
          <w:color w:val="000000" w:themeColor="text1"/>
          <w:sz w:val="30"/>
          <w:szCs w:val="30"/>
          <w:u w:val="single"/>
          <w14:textFill>
            <w14:solidFill>
              <w14:schemeClr w14:val="tx1"/>
            </w14:solidFill>
          </w14:textFill>
        </w:rPr>
        <w:t>9）本项目总承包服务费及甲供材料（设备）采保费</w:t>
      </w:r>
      <w:r>
        <w:rPr>
          <w:rFonts w:hint="eastAsia" w:ascii="仿宋" w:hAnsi="仿宋" w:eastAsia="仿宋" w:cs="仿宋"/>
          <w:color w:val="000000" w:themeColor="text1"/>
          <w:sz w:val="30"/>
          <w:szCs w:val="30"/>
          <w:u w:val="single"/>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sym w:font="Wingdings 2" w:char="F052"/>
      </w:r>
      <w:r>
        <w:rPr>
          <w:rFonts w:hint="eastAsia" w:ascii="仿宋" w:hAnsi="仿宋" w:eastAsia="仿宋" w:cs="仿宋"/>
          <w:color w:val="000000" w:themeColor="text1"/>
          <w:sz w:val="30"/>
          <w:szCs w:val="30"/>
          <w:u w:val="single"/>
          <w14:textFill>
            <w14:solidFill>
              <w14:schemeClr w14:val="tx1"/>
            </w14:solidFill>
          </w14:textFill>
        </w:rPr>
        <w:t>无。</w:t>
      </w:r>
    </w:p>
    <w:p>
      <w:pPr>
        <w:spacing w:line="360" w:lineRule="auto"/>
        <w:ind w:firstLine="600" w:firstLineChars="200"/>
        <w:rPr>
          <w:rFonts w:ascii="仿宋_GB2312" w:hAnsi="仿宋_GB2312"/>
          <w:i/>
          <w:color w:val="000000" w:themeColor="text1"/>
          <w:sz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w:t>
      </w:r>
      <w:r>
        <w:rPr>
          <w:rFonts w:ascii="仿宋_GB2312" w:hAnsi="仿宋_GB2312" w:eastAsia="仿宋_GB2312" w:cs="仿宋_GB2312"/>
          <w:color w:val="000000" w:themeColor="text1"/>
          <w:sz w:val="30"/>
          <w:szCs w:val="30"/>
          <w:u w:val="single"/>
          <w14:textFill>
            <w14:solidFill>
              <w14:schemeClr w14:val="tx1"/>
            </w14:solidFill>
          </w14:textFill>
        </w:rPr>
        <w:t>10）税金：本工程增值税税率为9%。</w:t>
      </w:r>
    </w:p>
    <w:p>
      <w:pPr>
        <w:spacing w:line="360" w:lineRule="auto"/>
        <w:ind w:firstLine="600" w:firstLineChars="200"/>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（1</w:t>
      </w:r>
      <w:r>
        <w:rPr>
          <w:rFonts w:ascii="仿宋_GB2312" w:hAnsi="仿宋_GB2312" w:eastAsia="仿宋_GB2312" w:cs="仿宋_GB2312"/>
          <w:color w:val="000000" w:themeColor="text1"/>
          <w:sz w:val="30"/>
          <w:szCs w:val="30"/>
          <w:u w:val="single"/>
          <w14:textFill>
            <w14:solidFill>
              <w14:schemeClr w14:val="tx1"/>
            </w14:solidFill>
          </w14:textFill>
        </w:rPr>
        <w:t>1</w:t>
      </w:r>
      <w:r>
        <w:rPr>
          <w:rFonts w:hint="eastAsia" w:ascii="仿宋_GB2312" w:hAnsi="仿宋_GB2312" w:eastAsia="仿宋_GB2312" w:cs="仿宋_GB2312"/>
          <w:color w:val="000000" w:themeColor="text1"/>
          <w:sz w:val="30"/>
          <w:szCs w:val="30"/>
          <w:u w:val="single"/>
          <w14:textFill>
            <w14:solidFill>
              <w14:schemeClr w14:val="tx1"/>
            </w14:solidFill>
          </w14:textFill>
        </w:rPr>
        <w:t>）计日工</w:t>
      </w:r>
      <w:r>
        <w:rPr>
          <w:rFonts w:ascii="仿宋_GB2312" w:hAnsi="仿宋_GB2312" w:eastAsia="仿宋_GB2312" w:cs="仿宋_GB2312"/>
          <w:color w:val="000000" w:themeColor="text1"/>
          <w:sz w:val="30"/>
          <w:szCs w:val="30"/>
          <w:u w:val="single"/>
          <w14:textFill>
            <w14:solidFill>
              <w14:schemeClr w14:val="tx1"/>
            </w14:solidFill>
          </w14:textFill>
        </w:rPr>
        <w:t>220</w:t>
      </w:r>
      <w:r>
        <w:rPr>
          <w:rFonts w:hint="eastAsia" w:ascii="仿宋_GB2312" w:hAnsi="仿宋_GB2312" w:eastAsia="仿宋_GB2312" w:cs="仿宋_GB2312"/>
          <w:color w:val="000000" w:themeColor="text1"/>
          <w:sz w:val="30"/>
          <w:szCs w:val="30"/>
          <w:u w:val="single"/>
          <w14:textFill>
            <w14:solidFill>
              <w14:schemeClr w14:val="tx1"/>
            </w14:solidFill>
          </w14:textFill>
        </w:rPr>
        <w:t xml:space="preserve"> 元/工日（全费用）。</w:t>
      </w:r>
    </w:p>
    <w:p>
      <w:pPr>
        <w:pStyle w:val="9"/>
      </w:pPr>
      <w:r>
        <w:t xml:space="preserve">10.5 </w:t>
      </w:r>
      <w:r>
        <w:rPr>
          <w:rFonts w:hint="eastAsia"/>
        </w:rPr>
        <w:t>承包人的合理化建议</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监理人审查承包人合理化建议的期限：</w:t>
      </w:r>
      <w:r>
        <w:rPr>
          <w:rFonts w:eastAsia="仿宋_GB2312"/>
          <w:color w:val="000000" w:themeColor="text1"/>
          <w:sz w:val="30"/>
          <w:szCs w:val="32"/>
          <w:u w:val="single"/>
          <w14:textFill>
            <w14:solidFill>
              <w14:schemeClr w14:val="tx1"/>
            </w14:solidFill>
          </w14:textFill>
        </w:rPr>
        <w:t xml:space="preserve"> 7</w:t>
      </w:r>
      <w:r>
        <w:rPr>
          <w:rFonts w:hint="eastAsia" w:eastAsia="仿宋_GB2312"/>
          <w:color w:val="000000" w:themeColor="text1"/>
          <w:sz w:val="30"/>
          <w:szCs w:val="32"/>
          <w:u w:val="single"/>
          <w14:textFill>
            <w14:solidFill>
              <w14:schemeClr w14:val="tx1"/>
            </w14:solidFill>
          </w14:textFill>
        </w:rPr>
        <w:t>天</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发包人审批承包人合理化建议的期限：</w:t>
      </w:r>
      <w:r>
        <w:rPr>
          <w:rFonts w:eastAsia="仿宋_GB2312"/>
          <w:color w:val="000000" w:themeColor="text1"/>
          <w:sz w:val="30"/>
          <w:szCs w:val="32"/>
          <w:u w:val="single"/>
          <w14:textFill>
            <w14:solidFill>
              <w14:schemeClr w14:val="tx1"/>
            </w14:solidFill>
          </w14:textFill>
        </w:rPr>
        <w:t xml:space="preserve"> 7</w:t>
      </w:r>
      <w:r>
        <w:rPr>
          <w:rFonts w:hint="eastAsia" w:eastAsia="仿宋_GB2312"/>
          <w:color w:val="000000" w:themeColor="text1"/>
          <w:sz w:val="30"/>
          <w:szCs w:val="32"/>
          <w:u w:val="single"/>
          <w14:textFill>
            <w14:solidFill>
              <w14:schemeClr w14:val="tx1"/>
            </w14:solidFill>
          </w14:textFill>
        </w:rPr>
        <w:t>天</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承包人提出的合理化建议降低了合同价格或者提高了工程经济效益的奖励的方法和金额为：</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p>
    <w:p>
      <w:pPr>
        <w:pStyle w:val="9"/>
      </w:pPr>
      <w:r>
        <w:t xml:space="preserve">10.7 </w:t>
      </w:r>
      <w:r>
        <w:rPr>
          <w:rFonts w:hint="eastAsia"/>
        </w:rPr>
        <w:t>暂估价</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暂估价材料和工程设备的明细详见附件</w:t>
      </w:r>
      <w:r>
        <w:rPr>
          <w:rFonts w:eastAsia="仿宋_GB2312"/>
          <w:color w:val="000000" w:themeColor="text1"/>
          <w:kern w:val="0"/>
          <w:sz w:val="30"/>
          <w:szCs w:val="32"/>
          <w14:textFill>
            <w14:solidFill>
              <w14:schemeClr w14:val="tx1"/>
            </w14:solidFill>
          </w14:textFill>
        </w:rPr>
        <w:t>11</w:t>
      </w:r>
      <w:r>
        <w:rPr>
          <w:rFonts w:hint="eastAsia" w:eastAsia="仿宋_GB2312"/>
          <w:color w:val="000000" w:themeColor="text1"/>
          <w:kern w:val="0"/>
          <w:sz w:val="30"/>
          <w:szCs w:val="32"/>
          <w14:textFill>
            <w14:solidFill>
              <w14:schemeClr w14:val="tx1"/>
            </w14:solidFill>
          </w14:textFill>
        </w:rPr>
        <w:t>：《</w:t>
      </w:r>
      <w:r>
        <w:rPr>
          <w:rFonts w:hint="eastAsia" w:eastAsia="仿宋_GB2312"/>
          <w:color w:val="000000" w:themeColor="text1"/>
          <w:sz w:val="30"/>
          <w:szCs w:val="32"/>
          <w14:textFill>
            <w14:solidFill>
              <w14:schemeClr w14:val="tx1"/>
            </w14:solidFill>
          </w14:textFill>
        </w:rPr>
        <w:t>暂估价一览表》</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10.7.1 </w:t>
      </w:r>
      <w:r>
        <w:rPr>
          <w:rFonts w:hint="eastAsia" w:eastAsia="仿宋_GB2312"/>
          <w:color w:val="000000" w:themeColor="text1"/>
          <w:sz w:val="30"/>
          <w:szCs w:val="32"/>
          <w14:textFill>
            <w14:solidFill>
              <w14:schemeClr w14:val="tx1"/>
            </w14:solidFill>
          </w14:textFill>
        </w:rPr>
        <w:t>依法必须招标的暂估价项目</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对于依法必须招标的暂估价项目的确认和批准采取第</w:t>
      </w:r>
      <w:r>
        <w:rPr>
          <w:rFonts w:eastAsia="仿宋_GB2312"/>
          <w:color w:val="000000" w:themeColor="text1"/>
          <w:sz w:val="30"/>
          <w:szCs w:val="32"/>
          <w:u w:val="single"/>
          <w14:textFill>
            <w14:solidFill>
              <w14:schemeClr w14:val="tx1"/>
            </w14:solidFill>
          </w14:textFill>
        </w:rPr>
        <w:t xml:space="preserve">  /  </w:t>
      </w:r>
      <w:r>
        <w:rPr>
          <w:rFonts w:hint="eastAsia" w:eastAsia="仿宋_GB2312"/>
          <w:color w:val="000000" w:themeColor="text1"/>
          <w:sz w:val="30"/>
          <w:szCs w:val="32"/>
          <w14:textFill>
            <w14:solidFill>
              <w14:schemeClr w14:val="tx1"/>
            </w14:solidFill>
          </w14:textFill>
        </w:rPr>
        <w:t>种方式确定。</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由发包人招标确定暂估价供应商或分包人。</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10.7.2 </w:t>
      </w:r>
      <w:r>
        <w:rPr>
          <w:rFonts w:hint="eastAsia" w:eastAsia="仿宋_GB2312"/>
          <w:color w:val="000000" w:themeColor="text1"/>
          <w:sz w:val="30"/>
          <w:szCs w:val="32"/>
          <w14:textFill>
            <w14:solidFill>
              <w14:schemeClr w14:val="tx1"/>
            </w14:solidFill>
          </w14:textFill>
        </w:rPr>
        <w:t>不属于依法必须招标的暂估价项目</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对于不属于依法必须招标的暂估价项目的确认和批准采取第</w:t>
      </w:r>
      <w:r>
        <w:rPr>
          <w:rFonts w:eastAsia="仿宋_GB2312"/>
          <w:color w:val="000000" w:themeColor="text1"/>
          <w:sz w:val="30"/>
          <w:szCs w:val="32"/>
          <w:u w:val="single"/>
          <w14:textFill>
            <w14:solidFill>
              <w14:schemeClr w14:val="tx1"/>
            </w14:solidFill>
          </w14:textFill>
        </w:rPr>
        <w:t xml:space="preserve"> /  </w:t>
      </w:r>
      <w:r>
        <w:rPr>
          <w:rFonts w:eastAsia="仿宋_GB2312"/>
          <w:color w:val="000000" w:themeColor="text1"/>
          <w:sz w:val="30"/>
          <w:szCs w:val="32"/>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种方式确定。</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由发包人确定暂估价供应商或分包人</w:t>
      </w:r>
      <w:r>
        <w:rPr>
          <w:rFonts w:hint="eastAsia" w:eastAsia="仿宋_GB2312"/>
          <w:color w:val="000000" w:themeColor="text1"/>
          <w:sz w:val="30"/>
          <w:szCs w:val="32"/>
          <w14:textFill>
            <w14:solidFill>
              <w14:schemeClr w14:val="tx1"/>
            </w14:solidFill>
          </w14:textFill>
        </w:rPr>
        <w:t>。</w:t>
      </w:r>
    </w:p>
    <w:p>
      <w:pPr>
        <w:pStyle w:val="9"/>
      </w:pPr>
      <w:r>
        <w:t xml:space="preserve">10.8 </w:t>
      </w:r>
      <w:r>
        <w:rPr>
          <w:rFonts w:hint="eastAsia"/>
        </w:rPr>
        <w:t>暂列金额</w:t>
      </w:r>
    </w:p>
    <w:p>
      <w:pPr>
        <w:autoSpaceDE w:val="0"/>
        <w:autoSpaceDN w:val="0"/>
        <w:adjustRightInd w:val="0"/>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合同当事人关于暂列金额使用的约定：</w:t>
      </w:r>
      <w:r>
        <w:rPr>
          <w:rFonts w:hint="eastAsia" w:eastAsia="仿宋_GB2312"/>
          <w:color w:val="000000" w:themeColor="text1"/>
          <w:kern w:val="0"/>
          <w:sz w:val="30"/>
          <w:szCs w:val="32"/>
          <w:u w:val="single"/>
          <w14:textFill>
            <w14:solidFill>
              <w14:schemeClr w14:val="tx1"/>
            </w14:solidFill>
          </w14:textFill>
        </w:rPr>
        <w:t>暂列金额由发包人掌握使用，已在合同价格中，使用余额归发包人所有</w:t>
      </w:r>
      <w:r>
        <w:rPr>
          <w:rFonts w:hint="eastAsia" w:eastAsia="仿宋_GB2312"/>
          <w:color w:val="000000" w:themeColor="text1"/>
          <w:sz w:val="30"/>
          <w:szCs w:val="32"/>
          <w:u w:val="single"/>
          <w14:textFill>
            <w14:solidFill>
              <w14:schemeClr w14:val="tx1"/>
            </w14:solidFill>
          </w14:textFill>
        </w:rPr>
        <w:t>，用于支付合同签订时不确定或不可预见的材料、工程设备、服务的采购，</w:t>
      </w:r>
      <w:r>
        <w:rPr>
          <w:rFonts w:hint="eastAsia" w:eastAsia="仿宋_GB2312"/>
          <w:color w:val="000000" w:themeColor="text1"/>
          <w:kern w:val="0"/>
          <w:sz w:val="30"/>
          <w:szCs w:val="32"/>
          <w:u w:val="single"/>
          <w14:textFill>
            <w14:solidFill>
              <w14:schemeClr w14:val="tx1"/>
            </w14:solidFill>
          </w14:textFill>
        </w:rPr>
        <w:t>施工中可能</w:t>
      </w:r>
      <w:r>
        <w:rPr>
          <w:rFonts w:hint="eastAsia" w:eastAsia="仿宋_GB2312"/>
          <w:color w:val="000000" w:themeColor="text1"/>
          <w:sz w:val="30"/>
          <w:szCs w:val="32"/>
          <w:u w:val="single"/>
          <w14:textFill>
            <w14:solidFill>
              <w14:schemeClr w14:val="tx1"/>
            </w14:solidFill>
          </w14:textFill>
        </w:rPr>
        <w:t>发生的变更、</w:t>
      </w:r>
      <w:r>
        <w:rPr>
          <w:rFonts w:hint="eastAsia" w:eastAsia="仿宋_GB2312"/>
          <w:color w:val="000000" w:themeColor="text1"/>
          <w:kern w:val="0"/>
          <w:sz w:val="30"/>
          <w:szCs w:val="32"/>
          <w:u w:val="single"/>
          <w14:textFill>
            <w14:solidFill>
              <w14:schemeClr w14:val="tx1"/>
            </w14:solidFill>
          </w14:textFill>
        </w:rPr>
        <w:t>合同</w:t>
      </w:r>
      <w:r>
        <w:rPr>
          <w:rFonts w:hint="eastAsia" w:eastAsia="仿宋_GB2312"/>
          <w:color w:val="000000" w:themeColor="text1"/>
          <w:sz w:val="30"/>
          <w:szCs w:val="32"/>
          <w:u w:val="single"/>
          <w14:textFill>
            <w14:solidFill>
              <w14:schemeClr w14:val="tx1"/>
            </w14:solidFill>
          </w14:textFill>
        </w:rPr>
        <w:t>约定调整因素出现时的合同价格调整、索赔、现场签证等的费用。</w:t>
      </w:r>
    </w:p>
    <w:p>
      <w:pPr>
        <w:pStyle w:val="8"/>
      </w:pPr>
      <w:r>
        <w:t xml:space="preserve">11. </w:t>
      </w:r>
      <w:r>
        <w:rPr>
          <w:rFonts w:hint="eastAsia"/>
        </w:rPr>
        <w:t>价格调整</w:t>
      </w:r>
    </w:p>
    <w:p>
      <w:pPr>
        <w:pStyle w:val="9"/>
      </w:pPr>
      <w:r>
        <w:t xml:space="preserve">11.1 </w:t>
      </w:r>
      <w:r>
        <w:rPr>
          <w:rFonts w:hint="eastAsia"/>
        </w:rPr>
        <w:t>市场价格波动引起的调整</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市场价格波动是否调整合同价格的约定：</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不作调整。</w:t>
      </w:r>
    </w:p>
    <w:p>
      <w:pPr>
        <w:pStyle w:val="9"/>
      </w:pPr>
      <w:r>
        <w:t>11.2</w:t>
      </w:r>
      <w:r>
        <w:rPr>
          <w:rFonts w:hint="eastAsia"/>
        </w:rPr>
        <w:t>法律变化引起的调整</w:t>
      </w:r>
    </w:p>
    <w:p>
      <w:pPr>
        <w:spacing w:line="360" w:lineRule="auto"/>
        <w:ind w:firstLine="645"/>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本合同价格不随法律及其他规范性文件、政策的调整而调整。但增值税税率调整的情况除外。</w:t>
      </w:r>
    </w:p>
    <w:p>
      <w:pPr>
        <w:pStyle w:val="8"/>
        <w:rPr>
          <w:u w:val="single"/>
        </w:rPr>
      </w:pPr>
      <w:r>
        <w:t xml:space="preserve">12. </w:t>
      </w:r>
      <w:r>
        <w:rPr>
          <w:rFonts w:hint="eastAsia"/>
        </w:rPr>
        <w:t>合同价格、计量与支付</w:t>
      </w:r>
    </w:p>
    <w:p>
      <w:pPr>
        <w:pStyle w:val="9"/>
      </w:pPr>
      <w:r>
        <w:t xml:space="preserve">12.1 </w:t>
      </w:r>
      <w:r>
        <w:rPr>
          <w:rFonts w:hint="eastAsia"/>
        </w:rPr>
        <w:t>合同价格形式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、单价合同。</w:t>
      </w:r>
    </w:p>
    <w:p>
      <w:pPr>
        <w:spacing w:line="360" w:lineRule="auto"/>
        <w:ind w:firstLine="600" w:firstLineChars="200"/>
        <w:jc w:val="left"/>
        <w:rPr>
          <w:rFonts w:eastAsia="仿宋_GB2312"/>
          <w:i/>
          <w:iCs/>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综合单价包含的风险范围：</w:t>
      </w:r>
      <w:r>
        <w:rPr>
          <w:rFonts w:hint="eastAsia" w:eastAsia="仿宋_GB2312"/>
          <w:color w:val="000000" w:themeColor="text1"/>
          <w:sz w:val="30"/>
          <w:szCs w:val="32"/>
          <w:u w:val="single"/>
          <w14:textFill>
            <w14:solidFill>
              <w14:schemeClr w14:val="tx1"/>
            </w14:solidFill>
          </w14:textFill>
        </w:rPr>
        <w:t>除了不可抗力之外的其他风险</w:t>
      </w:r>
      <w:r>
        <w:rPr>
          <w:rFonts w:eastAsia="仿宋_GB2312"/>
          <w:color w:val="000000" w:themeColor="text1"/>
          <w:sz w:val="30"/>
          <w:szCs w:val="32"/>
          <w:u w:val="single"/>
          <w14:textFill>
            <w14:solidFill>
              <w14:schemeClr w14:val="tx1"/>
            </w14:solidFill>
          </w14:textFill>
        </w:rPr>
        <w:t xml:space="preserve"> </w:t>
      </w:r>
      <w:r>
        <w:rPr>
          <w:rFonts w:hint="eastAsia" w:eastAsia="仿宋_GB2312"/>
          <w:i/>
          <w:iCs/>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风险费用的计算方法：</w:t>
      </w:r>
      <w:r>
        <w:rPr>
          <w:rFonts w:hint="eastAsia" w:eastAsia="仿宋_GB2312"/>
          <w:color w:val="000000" w:themeColor="text1"/>
          <w:sz w:val="30"/>
          <w:szCs w:val="32"/>
          <w:u w:val="single"/>
          <w14:textFill>
            <w14:solidFill>
              <w14:schemeClr w14:val="tx1"/>
            </w14:solidFill>
          </w14:textFill>
        </w:rPr>
        <w:t>承包人投标时已考虑，已包含在综合单价中不单独列出。</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风险范围以外合同价格的调整方法：</w:t>
      </w:r>
      <w:r>
        <w:rPr>
          <w:rFonts w:hint="eastAsia" w:eastAsia="仿宋_GB2312"/>
          <w:color w:val="000000" w:themeColor="text1"/>
          <w:sz w:val="30"/>
          <w:szCs w:val="32"/>
          <w:u w:val="single"/>
          <w14:textFill>
            <w14:solidFill>
              <w14:schemeClr w14:val="tx1"/>
            </w14:solidFill>
          </w14:textFill>
        </w:rPr>
        <w:t>不可抗力按</w:t>
      </w:r>
      <w:r>
        <w:rPr>
          <w:rFonts w:eastAsia="仿宋_GB2312"/>
          <w:color w:val="000000" w:themeColor="text1"/>
          <w:sz w:val="30"/>
          <w:szCs w:val="32"/>
          <w:u w:val="single"/>
          <w14:textFill>
            <w14:solidFill>
              <w14:schemeClr w14:val="tx1"/>
            </w14:solidFill>
          </w14:textFill>
        </w:rPr>
        <w:t>17.3</w:t>
      </w:r>
      <w:r>
        <w:rPr>
          <w:rFonts w:hint="eastAsia" w:eastAsia="仿宋_GB2312"/>
          <w:color w:val="000000" w:themeColor="text1"/>
          <w:sz w:val="30"/>
          <w:szCs w:val="32"/>
          <w:u w:val="single"/>
          <w14:textFill>
            <w14:solidFill>
              <w14:schemeClr w14:val="tx1"/>
            </w14:solidFill>
          </w14:textFill>
        </w:rPr>
        <w:t>条。</w:t>
      </w:r>
    </w:p>
    <w:p>
      <w:pPr>
        <w:pStyle w:val="9"/>
      </w:pPr>
      <w:r>
        <w:t xml:space="preserve">12.2 </w:t>
      </w:r>
      <w:r>
        <w:rPr>
          <w:rFonts w:hint="eastAsia"/>
        </w:rPr>
        <w:t>预付款</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12.2.1 </w:t>
      </w:r>
      <w:r>
        <w:rPr>
          <w:rFonts w:hint="eastAsia" w:eastAsia="仿宋_GB2312"/>
          <w:color w:val="000000" w:themeColor="text1"/>
          <w:sz w:val="30"/>
          <w:szCs w:val="32"/>
          <w14:textFill>
            <w14:solidFill>
              <w14:schemeClr w14:val="tx1"/>
            </w14:solidFill>
          </w14:textFill>
        </w:rPr>
        <w:t>预付款的支付</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预付款支付比例或金额：</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本工程无预付款；</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预付款支付期限：</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预付款扣回的方式：</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12.2.2 </w:t>
      </w:r>
      <w:r>
        <w:rPr>
          <w:rFonts w:hint="eastAsia" w:eastAsia="仿宋_GB2312"/>
          <w:color w:val="000000" w:themeColor="text1"/>
          <w:sz w:val="30"/>
          <w:szCs w:val="32"/>
          <w14:textFill>
            <w14:solidFill>
              <w14:schemeClr w14:val="tx1"/>
            </w14:solidFill>
          </w14:textFill>
        </w:rPr>
        <w:t>预付款担保</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承包人提交预付款担保的期限：</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预付款担保的形式为：</w:t>
      </w:r>
      <w:r>
        <w:rPr>
          <w:rFonts w:hint="eastAsia" w:eastAsia="仿宋_GB2312"/>
          <w:color w:val="000000" w:themeColor="text1"/>
          <w:sz w:val="30"/>
          <w:szCs w:val="32"/>
          <w:u w:val="single"/>
          <w14:textFill>
            <w14:solidFill>
              <w14:schemeClr w14:val="tx1"/>
            </w14:solidFill>
          </w14:textFill>
        </w:rPr>
        <w:t>无</w:t>
      </w:r>
      <w:r>
        <w:rPr>
          <w:rFonts w:hint="eastAsia" w:eastAsia="仿宋_GB2312"/>
          <w:color w:val="000000" w:themeColor="text1"/>
          <w:sz w:val="30"/>
          <w:szCs w:val="32"/>
          <w14:textFill>
            <w14:solidFill>
              <w14:schemeClr w14:val="tx1"/>
            </w14:solidFill>
          </w14:textFill>
        </w:rPr>
        <w:t>。</w:t>
      </w:r>
    </w:p>
    <w:p>
      <w:pPr>
        <w:pStyle w:val="9"/>
      </w:pPr>
      <w:r>
        <w:t xml:space="preserve">12.3 </w:t>
      </w:r>
      <w:r>
        <w:rPr>
          <w:rFonts w:hint="eastAsia"/>
        </w:rPr>
        <w:t>计量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12.3.1 </w:t>
      </w:r>
      <w:r>
        <w:rPr>
          <w:rFonts w:hint="eastAsia" w:eastAsia="仿宋_GB2312"/>
          <w:color w:val="000000" w:themeColor="text1"/>
          <w:sz w:val="30"/>
          <w:szCs w:val="32"/>
          <w14:textFill>
            <w14:solidFill>
              <w14:schemeClr w14:val="tx1"/>
            </w14:solidFill>
          </w14:textFill>
        </w:rPr>
        <w:t>计量原则</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工程量计算规则：</w:t>
      </w:r>
      <w:r>
        <w:rPr>
          <w:rFonts w:hint="eastAsia" w:eastAsia="仿宋_GB2312"/>
          <w:color w:val="000000" w:themeColor="text1"/>
          <w:sz w:val="30"/>
          <w:szCs w:val="32"/>
          <w:u w:val="single"/>
          <w14:textFill>
            <w14:solidFill>
              <w14:schemeClr w14:val="tx1"/>
            </w14:solidFill>
          </w14:textFill>
        </w:rPr>
        <w:t>《建设工程工程量清单计价规范（</w:t>
      </w:r>
      <w:r>
        <w:rPr>
          <w:rFonts w:eastAsia="仿宋_GB2312"/>
          <w:color w:val="000000" w:themeColor="text1"/>
          <w:sz w:val="30"/>
          <w:szCs w:val="32"/>
          <w:u w:val="single"/>
          <w14:textFill>
            <w14:solidFill>
              <w14:schemeClr w14:val="tx1"/>
            </w14:solidFill>
          </w14:textFill>
        </w:rPr>
        <w:t>GB-50500-2013</w:t>
      </w:r>
      <w:r>
        <w:rPr>
          <w:rFonts w:hint="eastAsia" w:eastAsia="仿宋_GB2312"/>
          <w:color w:val="000000" w:themeColor="text1"/>
          <w:sz w:val="30"/>
          <w:szCs w:val="32"/>
          <w:u w:val="single"/>
          <w14:textFill>
            <w14:solidFill>
              <w14:schemeClr w14:val="tx1"/>
            </w14:solidFill>
          </w14:textFill>
        </w:rPr>
        <w:t>）》及招标文件说明</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12.3.2 </w:t>
      </w:r>
      <w:r>
        <w:rPr>
          <w:rFonts w:hint="eastAsia" w:eastAsia="仿宋_GB2312"/>
          <w:color w:val="000000" w:themeColor="text1"/>
          <w:sz w:val="30"/>
          <w:szCs w:val="32"/>
          <w14:textFill>
            <w14:solidFill>
              <w14:schemeClr w14:val="tx1"/>
            </w14:solidFill>
          </w14:textFill>
        </w:rPr>
        <w:t>计量周期</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关于计量周期的约定：</w:t>
      </w:r>
      <w:r>
        <w:rPr>
          <w:rFonts w:hint="eastAsia" w:eastAsia="仿宋_GB2312"/>
          <w:color w:val="000000" w:themeColor="text1"/>
          <w:sz w:val="30"/>
          <w:szCs w:val="32"/>
          <w:u w:val="single"/>
          <w14:textFill>
            <w14:solidFill>
              <w14:schemeClr w14:val="tx1"/>
            </w14:solidFill>
          </w14:textFill>
        </w:rPr>
        <w:sym w:font="Wingdings 2" w:char="F052"/>
      </w:r>
      <w:r>
        <w:rPr>
          <w:rFonts w:hint="eastAsia" w:eastAsia="仿宋_GB2312"/>
          <w:color w:val="000000" w:themeColor="text1"/>
          <w:sz w:val="30"/>
          <w:szCs w:val="32"/>
          <w:u w:val="single"/>
          <w14:textFill>
            <w14:solidFill>
              <w14:schemeClr w14:val="tx1"/>
            </w14:solidFill>
          </w14:textFill>
        </w:rPr>
        <w:t>按月计量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12.3.3 </w:t>
      </w:r>
      <w:r>
        <w:rPr>
          <w:rFonts w:hint="eastAsia" w:eastAsia="仿宋_GB2312"/>
          <w:color w:val="000000" w:themeColor="text1"/>
          <w:sz w:val="30"/>
          <w:szCs w:val="32"/>
          <w14:textFill>
            <w14:solidFill>
              <w14:schemeClr w14:val="tx1"/>
            </w14:solidFill>
          </w14:textFill>
        </w:rPr>
        <w:t>单价合同的计量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关于单价合同计量的约定：</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执行《通用合同条款》</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12.3.4 </w:t>
      </w:r>
      <w:r>
        <w:rPr>
          <w:rFonts w:hint="eastAsia" w:eastAsia="仿宋_GB2312"/>
          <w:color w:val="000000" w:themeColor="text1"/>
          <w:sz w:val="30"/>
          <w:szCs w:val="32"/>
          <w14:textFill>
            <w14:solidFill>
              <w14:schemeClr w14:val="tx1"/>
            </w14:solidFill>
          </w14:textFill>
        </w:rPr>
        <w:t>总价合同的计量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关于总价合同计量的约定：</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执行《通用合同条款》</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12.3.5</w:t>
      </w:r>
      <w:r>
        <w:rPr>
          <w:rFonts w:hint="eastAsia" w:eastAsia="仿宋_GB2312"/>
          <w:color w:val="000000" w:themeColor="text1"/>
          <w:sz w:val="30"/>
          <w:szCs w:val="32"/>
          <w14:textFill>
            <w14:solidFill>
              <w14:schemeClr w14:val="tx1"/>
            </w14:solidFill>
          </w14:textFill>
        </w:rPr>
        <w:t>总价合同采用支付分解表计量支付的，是否适用第</w:t>
      </w:r>
      <w:r>
        <w:rPr>
          <w:rFonts w:eastAsia="仿宋_GB2312"/>
          <w:color w:val="000000" w:themeColor="text1"/>
          <w:kern w:val="0"/>
          <w:sz w:val="30"/>
          <w:szCs w:val="32"/>
          <w14:textFill>
            <w14:solidFill>
              <w14:schemeClr w14:val="tx1"/>
            </w14:solidFill>
          </w14:textFill>
        </w:rPr>
        <w:t xml:space="preserve">12.3.4 </w:t>
      </w:r>
      <w:r>
        <w:rPr>
          <w:rFonts w:hint="eastAsia" w:eastAsia="仿宋_GB2312"/>
          <w:color w:val="000000" w:themeColor="text1"/>
          <w:sz w:val="30"/>
          <w:szCs w:val="32"/>
          <w14:textFill>
            <w14:solidFill>
              <w14:schemeClr w14:val="tx1"/>
            </w14:solidFill>
          </w14:textFill>
        </w:rPr>
        <w:t>项</w:t>
      </w:r>
      <w:r>
        <w:rPr>
          <w:rFonts w:hint="eastAsia" w:eastAsia="仿宋_GB2312"/>
          <w:color w:val="000000" w:themeColor="text1"/>
          <w:kern w:val="0"/>
          <w:sz w:val="30"/>
          <w:szCs w:val="32"/>
          <w14:textFill>
            <w14:solidFill>
              <w14:schemeClr w14:val="tx1"/>
            </w14:solidFill>
          </w14:textFill>
        </w:rPr>
        <w:t>〔总价合同的计量〕</w:t>
      </w:r>
      <w:r>
        <w:rPr>
          <w:rFonts w:hint="eastAsia" w:eastAsia="仿宋_GB2312"/>
          <w:color w:val="000000" w:themeColor="text1"/>
          <w:sz w:val="30"/>
          <w:szCs w:val="32"/>
          <w14:textFill>
            <w14:solidFill>
              <w14:schemeClr w14:val="tx1"/>
            </w14:solidFill>
          </w14:textFill>
        </w:rPr>
        <w:t>约定进行计量：</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适用</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12.3.6 </w:t>
      </w:r>
      <w:r>
        <w:rPr>
          <w:rFonts w:hint="eastAsia" w:eastAsia="仿宋_GB2312"/>
          <w:color w:val="000000" w:themeColor="text1"/>
          <w:sz w:val="30"/>
          <w:szCs w:val="32"/>
          <w14:textFill>
            <w14:solidFill>
              <w14:schemeClr w14:val="tx1"/>
            </w14:solidFill>
          </w14:textFill>
        </w:rPr>
        <w:t>其他价格形式合同的计量</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其他价格形式的计量方式和程序：</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无</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pStyle w:val="9"/>
      </w:pPr>
      <w:r>
        <w:t xml:space="preserve">12.4 </w:t>
      </w:r>
      <w:r>
        <w:rPr>
          <w:rFonts w:hint="eastAsia"/>
        </w:rPr>
        <w:t>工程进度款支付</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12.4.1 </w:t>
      </w:r>
      <w:r>
        <w:rPr>
          <w:rFonts w:hint="eastAsia" w:eastAsia="仿宋_GB2312"/>
          <w:color w:val="000000" w:themeColor="text1"/>
          <w:sz w:val="30"/>
          <w:szCs w:val="32"/>
          <w14:textFill>
            <w14:solidFill>
              <w14:schemeClr w14:val="tx1"/>
            </w14:solidFill>
          </w14:textFill>
        </w:rPr>
        <w:t>付款周期</w:t>
      </w:r>
    </w:p>
    <w:p>
      <w:pPr>
        <w:adjustRightInd w:val="0"/>
        <w:spacing w:after="60" w:line="360" w:lineRule="atLeast"/>
        <w:ind w:left="63" w:leftChars="30" w:right="63" w:rightChars="30" w:firstLine="600" w:firstLineChars="200"/>
        <w:textAlignment w:val="baseline"/>
        <w:rPr>
          <w:color w:val="000000" w:themeColor="text1"/>
          <w:kern w:val="0"/>
          <w:sz w:val="30"/>
          <w:u w:val="single"/>
          <w14:textFill>
            <w14:solidFill>
              <w14:schemeClr w14:val="tx1"/>
            </w14:solidFill>
          </w14:textFill>
        </w:rPr>
      </w:pPr>
      <w:r>
        <w:rPr>
          <w:rFonts w:hint="eastAsia"/>
          <w:color w:val="000000" w:themeColor="text1"/>
          <w:kern w:val="0"/>
          <w:sz w:val="30"/>
          <w14:textFill>
            <w14:solidFill>
              <w14:schemeClr w14:val="tx1"/>
            </w14:solidFill>
          </w14:textFill>
        </w:rPr>
        <w:t>关于付款周期的约定：</w:t>
      </w:r>
      <w:r>
        <w:rPr>
          <w:color w:val="000000" w:themeColor="text1"/>
          <w:kern w:val="0"/>
          <w:sz w:val="30"/>
          <w:u w:val="single"/>
          <w14:textFill>
            <w14:solidFill>
              <w14:schemeClr w14:val="tx1"/>
            </w14:solidFill>
          </w14:textFill>
        </w:rPr>
        <w:t xml:space="preserve"> </w:t>
      </w:r>
      <w:r>
        <w:rPr>
          <w:rFonts w:hint="eastAsia"/>
          <w:i/>
          <w:color w:val="000000" w:themeColor="text1"/>
          <w:kern w:val="0"/>
          <w:sz w:val="30"/>
          <w:u w:val="single"/>
          <w14:textFill>
            <w14:solidFill>
              <w14:schemeClr w14:val="tx1"/>
            </w14:solidFill>
          </w14:textFill>
        </w:rPr>
        <w:t>（说明：与计量周期一致）</w:t>
      </w:r>
      <w:r>
        <w:rPr>
          <w:color w:val="000000" w:themeColor="text1"/>
          <w:kern w:val="0"/>
          <w:sz w:val="30"/>
          <w:u w:val="single"/>
          <w14:textFill>
            <w14:solidFill>
              <w14:schemeClr w14:val="tx1"/>
            </w14:solidFill>
          </w14:textFill>
        </w:rPr>
        <w:t xml:space="preserve"> </w:t>
      </w:r>
    </w:p>
    <w:p>
      <w:pPr>
        <w:adjustRightInd w:val="0"/>
        <w:spacing w:after="60" w:line="360" w:lineRule="atLeast"/>
        <w:ind w:left="63" w:leftChars="30" w:right="63" w:rightChars="30" w:firstLine="600" w:firstLineChars="200"/>
        <w:jc w:val="left"/>
        <w:textAlignment w:val="baseline"/>
        <w:rPr>
          <w:color w:val="000000" w:themeColor="text1"/>
          <w:kern w:val="0"/>
          <w:sz w:val="30"/>
          <w:u w:val="single"/>
          <w14:textFill>
            <w14:solidFill>
              <w14:schemeClr w14:val="tx1"/>
            </w14:solidFill>
          </w14:textFill>
        </w:rPr>
      </w:pPr>
      <w:r>
        <w:rPr>
          <w:rFonts w:hint="eastAsia"/>
          <w:color w:val="000000" w:themeColor="text1"/>
          <w:kern w:val="0"/>
          <w:sz w:val="30"/>
          <w14:textFill>
            <w14:solidFill>
              <w14:schemeClr w14:val="tx1"/>
            </w14:solidFill>
          </w14:textFill>
        </w:rPr>
        <w:t>付款方式：</w:t>
      </w:r>
      <w:r>
        <w:rPr>
          <w:rFonts w:hint="eastAsia"/>
          <w:color w:val="000000" w:themeColor="text1"/>
          <w:kern w:val="0"/>
          <w:sz w:val="30"/>
          <w:u w:val="single"/>
          <w14:textFill>
            <w14:solidFill>
              <w14:schemeClr w14:val="tx1"/>
            </w14:solidFill>
          </w14:textFill>
        </w:rPr>
        <w:t>半年期商业汇票（包括银行承兑汇票和商业承兑汇票）。</w:t>
      </w:r>
    </w:p>
    <w:p>
      <w:pPr>
        <w:spacing w:line="360" w:lineRule="auto"/>
        <w:ind w:firstLine="600" w:firstLineChars="200"/>
        <w:jc w:val="left"/>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sym w:font="Wingdings 2" w:char="F052"/>
      </w:r>
      <w:r>
        <w:rPr>
          <w:rFonts w:hint="eastAsia" w:ascii="仿宋_GB2312" w:hAnsi="仿宋_GB2312" w:eastAsia="仿宋_GB2312" w:cs="仿宋_GB2312"/>
          <w:color w:val="000000" w:themeColor="text1"/>
          <w:sz w:val="30"/>
          <w:szCs w:val="30"/>
          <w:u w:val="single"/>
          <w14:textFill>
            <w14:solidFill>
              <w14:schemeClr w14:val="tx1"/>
            </w14:solidFill>
          </w14:textFill>
        </w:rPr>
        <w:t>工程量的计量按月进行</w:t>
      </w:r>
    </w:p>
    <w:p>
      <w:pPr>
        <w:adjustRightInd w:val="0"/>
        <w:spacing w:after="60" w:line="360" w:lineRule="atLeast"/>
        <w:ind w:left="63" w:leftChars="30" w:right="63" w:rightChars="30" w:firstLine="600" w:firstLineChars="200"/>
        <w:jc w:val="left"/>
        <w:textAlignment w:val="baseline"/>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工程款支付按月形象</w:t>
      </w:r>
      <w:r>
        <w:rPr>
          <w:rFonts w:hint="eastAsia" w:ascii="仿宋_GB2312" w:hAnsi="仿宋_GB2312"/>
          <w:color w:val="000000" w:themeColor="text1"/>
          <w:kern w:val="0"/>
          <w:sz w:val="30"/>
          <w:u w:val="single"/>
          <w14:textFill>
            <w14:solidFill>
              <w14:schemeClr w14:val="tx1"/>
            </w14:solidFill>
          </w14:textFill>
        </w:rPr>
        <w:t>进度</w:t>
      </w:r>
      <w:r>
        <w:rPr>
          <w:rFonts w:hint="eastAsia" w:ascii="仿宋_GB2312" w:hAnsi="仿宋_GB2312" w:eastAsia="仿宋_GB2312" w:cs="仿宋_GB2312"/>
          <w:color w:val="000000" w:themeColor="text1"/>
          <w:sz w:val="30"/>
          <w:szCs w:val="30"/>
          <w:u w:val="single"/>
          <w14:textFill>
            <w14:solidFill>
              <w14:schemeClr w14:val="tx1"/>
            </w14:solidFill>
          </w14:textFill>
        </w:rPr>
        <w:t>报表，经监理工程师、发包人审核后于开票挂账一个月后付至工程月形象进度造价的70%，累计进度款最高付至合同签约价的70%；完成工程竣工资料移交、竣工结算申报且竣工验收合格后付至已完成形象进度产值的</w:t>
      </w:r>
      <w:r>
        <w:rPr>
          <w:rFonts w:hint="eastAsia" w:ascii="仿宋_GB2312" w:hAnsi="仿宋_GB2312"/>
          <w:color w:val="000000" w:themeColor="text1"/>
          <w:sz w:val="30"/>
          <w:u w:val="single"/>
          <w14:textFill>
            <w14:solidFill>
              <w14:schemeClr w14:val="tx1"/>
            </w14:solidFill>
          </w14:textFill>
        </w:rPr>
        <w:t>75</w:t>
      </w:r>
      <w:r>
        <w:rPr>
          <w:rFonts w:hint="eastAsia" w:ascii="仿宋_GB2312" w:hAnsi="仿宋_GB2312" w:eastAsia="仿宋_GB2312" w:cs="仿宋_GB2312"/>
          <w:color w:val="000000" w:themeColor="text1"/>
          <w:sz w:val="30"/>
          <w:szCs w:val="30"/>
          <w:u w:val="single"/>
          <w14:textFill>
            <w14:solidFill>
              <w14:schemeClr w14:val="tx1"/>
            </w14:solidFill>
          </w14:textFill>
        </w:rPr>
        <w:t>%，且最高付至合同签约价的</w:t>
      </w:r>
      <w:r>
        <w:rPr>
          <w:rFonts w:hint="eastAsia" w:ascii="仿宋_GB2312" w:hAnsi="仿宋_GB2312"/>
          <w:color w:val="000000" w:themeColor="text1"/>
          <w:sz w:val="30"/>
          <w:u w:val="single"/>
          <w14:textFill>
            <w14:solidFill>
              <w14:schemeClr w14:val="tx1"/>
            </w14:solidFill>
          </w14:textFill>
        </w:rPr>
        <w:t>75</w:t>
      </w:r>
      <w:r>
        <w:rPr>
          <w:rFonts w:hint="eastAsia" w:ascii="仿宋_GB2312" w:hAnsi="仿宋_GB2312" w:eastAsia="仿宋_GB2312" w:cs="仿宋_GB2312"/>
          <w:color w:val="000000" w:themeColor="text1"/>
          <w:sz w:val="30"/>
          <w:szCs w:val="30"/>
          <w:u w:val="single"/>
          <w14:textFill>
            <w14:solidFill>
              <w14:schemeClr w14:val="tx1"/>
            </w14:solidFill>
          </w14:textFill>
        </w:rPr>
        <w:t>%；竣工结算审计完毕且完成内部验收经双方签字认可后付款至工程结算款的9</w:t>
      </w:r>
      <w:r>
        <w:rPr>
          <w:rFonts w:ascii="仿宋_GB2312" w:hAnsi="仿宋_GB2312" w:eastAsia="仿宋_GB2312" w:cs="仿宋_GB2312"/>
          <w:color w:val="000000" w:themeColor="text1"/>
          <w:sz w:val="30"/>
          <w:szCs w:val="30"/>
          <w:u w:val="single"/>
          <w14:textFill>
            <w14:solidFill>
              <w14:schemeClr w14:val="tx1"/>
            </w14:solidFill>
          </w14:textFill>
        </w:rPr>
        <w:t>7</w:t>
      </w:r>
      <w:r>
        <w:rPr>
          <w:rFonts w:hint="eastAsia" w:ascii="仿宋_GB2312" w:hAnsi="仿宋_GB2312" w:eastAsia="仿宋_GB2312" w:cs="仿宋_GB2312"/>
          <w:color w:val="000000" w:themeColor="text1"/>
          <w:sz w:val="30"/>
          <w:szCs w:val="30"/>
          <w:u w:val="single"/>
          <w14:textFill>
            <w14:solidFill>
              <w14:schemeClr w14:val="tx1"/>
            </w14:solidFill>
          </w14:textFill>
        </w:rPr>
        <w:t>%，结算款的</w:t>
      </w:r>
      <w:r>
        <w:rPr>
          <w:rFonts w:ascii="仿宋_GB2312" w:hAnsi="仿宋_GB2312" w:eastAsia="仿宋_GB2312" w:cs="仿宋_GB2312"/>
          <w:color w:val="000000" w:themeColor="text1"/>
          <w:sz w:val="30"/>
          <w:szCs w:val="30"/>
          <w:u w:val="single"/>
          <w14:textFill>
            <w14:solidFill>
              <w14:schemeClr w14:val="tx1"/>
            </w14:solidFill>
          </w14:textFill>
        </w:rPr>
        <w:t>3</w:t>
      </w:r>
      <w:r>
        <w:rPr>
          <w:rFonts w:hint="eastAsia" w:ascii="仿宋_GB2312" w:hAnsi="仿宋_GB2312" w:eastAsia="仿宋_GB2312" w:cs="仿宋_GB2312"/>
          <w:color w:val="000000" w:themeColor="text1"/>
          <w:sz w:val="30"/>
          <w:szCs w:val="30"/>
          <w:u w:val="single"/>
          <w14:textFill>
            <w14:solidFill>
              <w14:schemeClr w14:val="tx1"/>
            </w14:solidFill>
          </w14:textFill>
        </w:rPr>
        <w:t>%作为质量保修金。</w:t>
      </w:r>
    </w:p>
    <w:p>
      <w:pPr>
        <w:adjustRightInd w:val="0"/>
        <w:spacing w:after="60" w:line="360" w:lineRule="atLeast"/>
        <w:ind w:left="63" w:leftChars="30" w:right="63" w:rightChars="30" w:firstLine="600" w:firstLineChars="200"/>
        <w:jc w:val="left"/>
        <w:textAlignment w:val="baseline"/>
        <w:rPr>
          <w:rFonts w:ascii="仿宋_GB2312" w:hAnsi="仿宋_GB2312" w:eastAsia="仿宋_GB2312" w:cs="仿宋_GB2312"/>
          <w:color w:val="000000" w:themeColor="text1"/>
          <w:sz w:val="30"/>
          <w:szCs w:val="30"/>
          <w:u w:val="single"/>
          <w14:textFill>
            <w14:solidFill>
              <w14:schemeClr w14:val="tx1"/>
            </w14:solidFill>
          </w14:textFill>
        </w:rPr>
      </w:pPr>
      <w:r>
        <w:rPr>
          <w:rFonts w:hint="eastAsia" w:ascii="仿宋_GB2312" w:hAnsi="仿宋_GB2312" w:eastAsia="仿宋_GB2312" w:cs="仿宋_GB2312"/>
          <w:color w:val="000000" w:themeColor="text1"/>
          <w:sz w:val="30"/>
          <w:szCs w:val="30"/>
          <w:u w:val="single"/>
          <w14:textFill>
            <w14:solidFill>
              <w14:schemeClr w14:val="tx1"/>
            </w14:solidFill>
          </w14:textFill>
        </w:rPr>
        <w:t>发包人所有款项的支付均需承包人持当批付款金额一致的符合国家要求的增值税专用发票、收据、授权委托书、经办人身份证明原件及复印件等其他发包人财务制度要求的资料办理。因发票违规给发包人造成的增值税、所得税等损失，由承包人承担相关责任，包括但不限于税款、滞纳金、罚款及其它相关损失。</w:t>
      </w:r>
    </w:p>
    <w:p>
      <w:pPr>
        <w:spacing w:line="520" w:lineRule="exact"/>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12.4.2 </w:t>
      </w:r>
      <w:r>
        <w:rPr>
          <w:rFonts w:hint="eastAsia" w:eastAsia="仿宋_GB2312"/>
          <w:color w:val="000000" w:themeColor="text1"/>
          <w:sz w:val="30"/>
          <w:szCs w:val="32"/>
          <w14:textFill>
            <w14:solidFill>
              <w14:schemeClr w14:val="tx1"/>
            </w14:solidFill>
          </w14:textFill>
        </w:rPr>
        <w:t>进度付款申请单的编制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关于进度付款申请单编制的约定：</w:t>
      </w:r>
      <w:r>
        <w:rPr>
          <w:rFonts w:hint="eastAsia" w:eastAsia="仿宋_GB2312"/>
          <w:color w:val="000000" w:themeColor="text1"/>
          <w:sz w:val="30"/>
          <w:szCs w:val="32"/>
          <w:u w:val="single"/>
          <w14:textFill>
            <w14:solidFill>
              <w14:schemeClr w14:val="tx1"/>
            </w14:solidFill>
          </w14:textFill>
        </w:rPr>
        <w:t>按发包人的要求</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12.4.3 </w:t>
      </w:r>
      <w:r>
        <w:rPr>
          <w:rFonts w:hint="eastAsia" w:eastAsia="仿宋_GB2312"/>
          <w:color w:val="000000" w:themeColor="text1"/>
          <w:sz w:val="30"/>
          <w:szCs w:val="32"/>
          <w14:textFill>
            <w14:solidFill>
              <w14:schemeClr w14:val="tx1"/>
            </w14:solidFill>
          </w14:textFill>
        </w:rPr>
        <w:t>进度付款申请单的提交</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）单价合同进度付款申请单提交的约定：</w:t>
      </w:r>
      <w:r>
        <w:rPr>
          <w:rFonts w:hint="eastAsia" w:eastAsia="仿宋_GB2312"/>
          <w:color w:val="000000" w:themeColor="text1"/>
          <w:sz w:val="30"/>
          <w:szCs w:val="32"/>
          <w:u w:val="single"/>
          <w14:textFill>
            <w14:solidFill>
              <w14:schemeClr w14:val="tx1"/>
            </w14:solidFill>
          </w14:textFill>
        </w:rPr>
        <w:t>按发包人管理要求</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）总价合同进度付款申请单提交的约定：</w:t>
      </w:r>
      <w:r>
        <w:rPr>
          <w:rFonts w:hint="eastAsia" w:eastAsia="仿宋_GB2312"/>
          <w:color w:val="000000" w:themeColor="text1"/>
          <w:sz w:val="30"/>
          <w:szCs w:val="32"/>
          <w:u w:val="single"/>
          <w14:textFill>
            <w14:solidFill>
              <w14:schemeClr w14:val="tx1"/>
            </w14:solidFill>
          </w14:textFill>
        </w:rPr>
        <w:t>/</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3</w:t>
      </w:r>
      <w:r>
        <w:rPr>
          <w:rFonts w:hint="eastAsia" w:eastAsia="仿宋_GB2312"/>
          <w:color w:val="000000" w:themeColor="text1"/>
          <w:sz w:val="30"/>
          <w:szCs w:val="32"/>
          <w14:textFill>
            <w14:solidFill>
              <w14:schemeClr w14:val="tx1"/>
            </w14:solidFill>
          </w14:textFill>
        </w:rPr>
        <w:t>）其他价格形式合同进度付款申请单提交的约定：</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12.4.4 </w:t>
      </w:r>
      <w:r>
        <w:rPr>
          <w:rFonts w:hint="eastAsia" w:eastAsia="仿宋_GB2312"/>
          <w:color w:val="000000" w:themeColor="text1"/>
          <w:sz w:val="30"/>
          <w:szCs w:val="32"/>
          <w14:textFill>
            <w14:solidFill>
              <w14:schemeClr w14:val="tx1"/>
            </w14:solidFill>
          </w14:textFill>
        </w:rPr>
        <w:t>进度款审核和支付</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）监理人审查并报送发包人的期限：</w:t>
      </w:r>
      <w:r>
        <w:rPr>
          <w:rFonts w:eastAsia="仿宋_GB2312"/>
          <w:color w:val="000000" w:themeColor="text1"/>
          <w:sz w:val="30"/>
          <w:szCs w:val="32"/>
          <w:u w:val="single"/>
          <w14:textFill>
            <w14:solidFill>
              <w14:schemeClr w14:val="tx1"/>
            </w14:solidFill>
          </w14:textFill>
        </w:rPr>
        <w:t xml:space="preserve">  </w:t>
      </w:r>
      <w:r>
        <w:rPr>
          <w:rFonts w:eastAsia="仿宋_GB2312"/>
          <w:i/>
          <w:iCs/>
          <w:color w:val="000000" w:themeColor="text1"/>
          <w:sz w:val="30"/>
          <w:szCs w:val="32"/>
          <w:u w:val="single"/>
          <w14:textFill>
            <w14:solidFill>
              <w14:schemeClr w14:val="tx1"/>
            </w14:solidFill>
          </w14:textFill>
        </w:rPr>
        <w:t xml:space="preserve"> </w:t>
      </w:r>
      <w:r>
        <w:rPr>
          <w:rFonts w:eastAsia="仿宋_GB2312"/>
          <w:color w:val="000000" w:themeColor="text1"/>
          <w:sz w:val="30"/>
          <w:szCs w:val="32"/>
          <w:u w:val="single"/>
          <w14:textFill>
            <w14:solidFill>
              <w14:schemeClr w14:val="tx1"/>
            </w14:solidFill>
          </w14:textFill>
        </w:rPr>
        <w:t>3</w:t>
      </w:r>
      <w:r>
        <w:rPr>
          <w:rFonts w:hint="eastAsia" w:eastAsia="仿宋_GB2312"/>
          <w:color w:val="000000" w:themeColor="text1"/>
          <w:sz w:val="30"/>
          <w:szCs w:val="32"/>
          <w:u w:val="single"/>
          <w14:textFill>
            <w14:solidFill>
              <w14:schemeClr w14:val="tx1"/>
            </w14:solidFill>
          </w14:textFill>
        </w:rPr>
        <w:t>天</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kern w:val="0"/>
          <w:sz w:val="30"/>
          <w:szCs w:val="32"/>
          <w:u w:val="single"/>
          <w14:textFill>
            <w14:solidFill>
              <w14:schemeClr w14:val="tx1"/>
            </w14:solidFill>
          </w14:textFill>
        </w:rPr>
        <w:sym w:font="Wingdings 2" w:char="F052"/>
      </w:r>
      <w:r>
        <w:rPr>
          <w:rFonts w:hint="eastAsia" w:eastAsia="仿宋_GB2312"/>
          <w:color w:val="000000" w:themeColor="text1"/>
          <w:kern w:val="0"/>
          <w:sz w:val="30"/>
          <w:szCs w:val="32"/>
          <w:u w:val="single"/>
          <w14:textFill>
            <w14:solidFill>
              <w14:schemeClr w14:val="tx1"/>
            </w14:solidFill>
          </w14:textFill>
        </w:rPr>
        <w:t>造价咨询人在收到监理人确认工程形象计量后</w:t>
      </w:r>
      <w:r>
        <w:rPr>
          <w:rFonts w:eastAsia="仿宋_GB2312"/>
          <w:color w:val="000000" w:themeColor="text1"/>
          <w:kern w:val="0"/>
          <w:sz w:val="30"/>
          <w:szCs w:val="32"/>
          <w:u w:val="single"/>
          <w14:textFill>
            <w14:solidFill>
              <w14:schemeClr w14:val="tx1"/>
            </w14:solidFill>
          </w14:textFill>
        </w:rPr>
        <w:t>3</w:t>
      </w:r>
      <w:r>
        <w:rPr>
          <w:rFonts w:hint="eastAsia" w:eastAsia="仿宋_GB2312"/>
          <w:color w:val="000000" w:themeColor="text1"/>
          <w:kern w:val="0"/>
          <w:sz w:val="30"/>
          <w:szCs w:val="32"/>
          <w:u w:val="single"/>
          <w14:textFill>
            <w14:solidFill>
              <w14:schemeClr w14:val="tx1"/>
            </w14:solidFill>
          </w14:textFill>
        </w:rPr>
        <w:t>天内完成进度款的审核；</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发包人完成审批并签发进度款支付证书的期限：</w:t>
      </w:r>
      <w:r>
        <w:rPr>
          <w:rFonts w:hint="eastAsia" w:eastAsia="仿宋_GB2312"/>
          <w:color w:val="000000" w:themeColor="text1"/>
          <w:kern w:val="0"/>
          <w:sz w:val="30"/>
          <w:szCs w:val="32"/>
          <w:u w:val="single"/>
          <w14:textFill>
            <w14:solidFill>
              <w14:schemeClr w14:val="tx1"/>
            </w14:solidFill>
          </w14:textFill>
        </w:rPr>
        <w:t>收到监理人或造价咨询人的审核意见后</w:t>
      </w:r>
      <w:r>
        <w:rPr>
          <w:rFonts w:eastAsia="仿宋_GB2312"/>
          <w:color w:val="000000" w:themeColor="text1"/>
          <w:kern w:val="0"/>
          <w:sz w:val="30"/>
          <w:szCs w:val="32"/>
          <w:u w:val="single"/>
          <w14:textFill>
            <w14:solidFill>
              <w14:schemeClr w14:val="tx1"/>
            </w14:solidFill>
          </w14:textFill>
        </w:rPr>
        <w:t>3</w:t>
      </w:r>
      <w:r>
        <w:rPr>
          <w:rFonts w:hint="eastAsia" w:eastAsia="仿宋_GB2312"/>
          <w:color w:val="000000" w:themeColor="text1"/>
          <w:kern w:val="0"/>
          <w:sz w:val="30"/>
          <w:szCs w:val="32"/>
          <w:u w:val="single"/>
          <w14:textFill>
            <w14:solidFill>
              <w14:schemeClr w14:val="tx1"/>
            </w14:solidFill>
          </w14:textFill>
        </w:rPr>
        <w:t>天内签署意见。</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）发包人支付进度款的期限：</w:t>
      </w:r>
      <w:r>
        <w:rPr>
          <w:rFonts w:hint="eastAsia" w:eastAsia="仿宋_GB2312"/>
          <w:color w:val="000000" w:themeColor="text1"/>
          <w:sz w:val="30"/>
          <w:szCs w:val="32"/>
          <w:u w:val="single"/>
          <w14:textFill>
            <w14:solidFill>
              <w14:schemeClr w14:val="tx1"/>
            </w14:solidFill>
          </w14:textFill>
        </w:rPr>
        <w:t>进度款审批后</w:t>
      </w:r>
      <w:r>
        <w:rPr>
          <w:rFonts w:eastAsia="仿宋_GB2312"/>
          <w:color w:val="000000" w:themeColor="text1"/>
          <w:sz w:val="30"/>
          <w:szCs w:val="32"/>
          <w:u w:val="single"/>
          <w14:textFill>
            <w14:solidFill>
              <w14:schemeClr w14:val="tx1"/>
            </w14:solidFill>
          </w14:textFill>
        </w:rPr>
        <w:t>45</w:t>
      </w:r>
      <w:r>
        <w:rPr>
          <w:rFonts w:hint="eastAsia" w:eastAsia="仿宋_GB2312"/>
          <w:color w:val="000000" w:themeColor="text1"/>
          <w:sz w:val="30"/>
          <w:szCs w:val="32"/>
          <w:u w:val="single"/>
          <w14:textFill>
            <w14:solidFill>
              <w14:schemeClr w14:val="tx1"/>
            </w14:solidFill>
          </w14:textFill>
        </w:rPr>
        <w:t>天内</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发包人逾期支付进度款的违约金的计算方式：</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发包人逾期</w:t>
      </w:r>
      <w:r>
        <w:rPr>
          <w:rFonts w:eastAsia="仿宋_GB2312"/>
          <w:color w:val="000000" w:themeColor="text1"/>
          <w:sz w:val="30"/>
          <w:szCs w:val="32"/>
          <w:u w:val="single"/>
          <w14:textFill>
            <w14:solidFill>
              <w14:schemeClr w14:val="tx1"/>
            </w14:solidFill>
          </w14:textFill>
        </w:rPr>
        <w:t>45</w:t>
      </w:r>
      <w:r>
        <w:rPr>
          <w:rFonts w:hint="eastAsia" w:eastAsia="仿宋_GB2312"/>
          <w:color w:val="000000" w:themeColor="text1"/>
          <w:sz w:val="30"/>
          <w:szCs w:val="32"/>
          <w:u w:val="single"/>
          <w14:textFill>
            <w14:solidFill>
              <w14:schemeClr w14:val="tx1"/>
            </w14:solidFill>
          </w14:textFill>
        </w:rPr>
        <w:t>天支付是可以接受的，不视为发包人违约，</w:t>
      </w:r>
      <w:r>
        <w:rPr>
          <w:rFonts w:hint="eastAsia" w:eastAsia="仿宋_GB2312"/>
          <w:sz w:val="30"/>
          <w:szCs w:val="32"/>
          <w:u w:val="single"/>
        </w:rPr>
        <w:t>承包人应保证正常施工，不得以进度款支付逾期为由耽误正常施工。</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12.4.6 </w:t>
      </w:r>
      <w:r>
        <w:rPr>
          <w:rFonts w:hint="eastAsia" w:eastAsia="仿宋_GB2312"/>
          <w:color w:val="000000" w:themeColor="text1"/>
          <w:sz w:val="30"/>
          <w:szCs w:val="32"/>
          <w14:textFill>
            <w14:solidFill>
              <w14:schemeClr w14:val="tx1"/>
            </w14:solidFill>
          </w14:textFill>
        </w:rPr>
        <w:t>支付分解表的编制</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、总价合同支付分解表的编制与审批：</w:t>
      </w:r>
      <w:r>
        <w:rPr>
          <w:rFonts w:hint="eastAsia" w:ascii="Arial" w:hAnsi="Arial" w:eastAsia="仿宋_GB2312" w:cs="Arial"/>
          <w:color w:val="000000" w:themeColor="text1"/>
          <w:sz w:val="30"/>
          <w:szCs w:val="32"/>
          <w:u w:val="single"/>
          <w14:textFill>
            <w14:solidFill>
              <w14:schemeClr w14:val="tx1"/>
            </w14:solidFill>
          </w14:textFill>
        </w:rPr>
        <w:t>/</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3</w:t>
      </w:r>
      <w:r>
        <w:rPr>
          <w:rFonts w:hint="eastAsia" w:eastAsia="仿宋_GB2312"/>
          <w:color w:val="000000" w:themeColor="text1"/>
          <w:sz w:val="30"/>
          <w:szCs w:val="32"/>
          <w14:textFill>
            <w14:solidFill>
              <w14:schemeClr w14:val="tx1"/>
            </w14:solidFill>
          </w14:textFill>
        </w:rPr>
        <w:t>、单价合同的总价项目支付分解表的编制与审批：</w:t>
      </w:r>
      <w:r>
        <w:rPr>
          <w:rFonts w:hint="eastAsia" w:ascii="Arial" w:hAnsi="Arial" w:eastAsia="仿宋_GB2312" w:cs="Arial"/>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pStyle w:val="8"/>
      </w:pPr>
      <w:r>
        <w:t xml:space="preserve">13. </w:t>
      </w:r>
      <w:r>
        <w:rPr>
          <w:rFonts w:hint="eastAsia"/>
        </w:rPr>
        <w:t>验收和工程试车</w:t>
      </w:r>
    </w:p>
    <w:p>
      <w:pPr>
        <w:pStyle w:val="9"/>
      </w:pPr>
      <w:r>
        <w:t xml:space="preserve">13.1 </w:t>
      </w:r>
      <w:r>
        <w:rPr>
          <w:rFonts w:hint="eastAsia"/>
        </w:rPr>
        <w:t>分部分项工程验收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13.1.2</w:t>
      </w:r>
      <w:r>
        <w:rPr>
          <w:rFonts w:hint="eastAsia" w:eastAsia="仿宋_GB2312"/>
          <w:color w:val="000000" w:themeColor="text1"/>
          <w:sz w:val="30"/>
          <w:szCs w:val="32"/>
          <w14:textFill>
            <w14:solidFill>
              <w14:schemeClr w14:val="tx1"/>
            </w14:solidFill>
          </w14:textFill>
        </w:rPr>
        <w:t>监理人不能按时进行验收时，应提前</w:t>
      </w:r>
      <w:r>
        <w:rPr>
          <w:rFonts w:eastAsia="仿宋_GB2312"/>
          <w:color w:val="000000" w:themeColor="text1"/>
          <w:sz w:val="30"/>
          <w:szCs w:val="32"/>
          <w:u w:val="single"/>
          <w14:textFill>
            <w14:solidFill>
              <w14:schemeClr w14:val="tx1"/>
            </w14:solidFill>
          </w14:textFill>
        </w:rPr>
        <w:t xml:space="preserve">  24  </w:t>
      </w:r>
      <w:r>
        <w:rPr>
          <w:rFonts w:hint="eastAsia" w:eastAsia="仿宋_GB2312"/>
          <w:color w:val="000000" w:themeColor="text1"/>
          <w:sz w:val="30"/>
          <w:szCs w:val="32"/>
          <w14:textFill>
            <w14:solidFill>
              <w14:schemeClr w14:val="tx1"/>
            </w14:solidFill>
          </w14:textFill>
        </w:rPr>
        <w:t>小时提交书面延期要求。</w:t>
      </w:r>
    </w:p>
    <w:p>
      <w:pPr>
        <w:spacing w:line="360" w:lineRule="auto"/>
        <w:ind w:firstLine="600" w:firstLineChars="200"/>
        <w:jc w:val="left"/>
        <w:rPr>
          <w:rFonts w:eastAsia="仿宋_GB2312"/>
          <w:b/>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关于延期最长不得超过：</w:t>
      </w:r>
      <w:r>
        <w:rPr>
          <w:rFonts w:eastAsia="仿宋_GB2312"/>
          <w:color w:val="000000" w:themeColor="text1"/>
          <w:sz w:val="30"/>
          <w:szCs w:val="32"/>
          <w:u w:val="single"/>
          <w14:textFill>
            <w14:solidFill>
              <w14:schemeClr w14:val="tx1"/>
            </w14:solidFill>
          </w14:textFill>
        </w:rPr>
        <w:t xml:space="preserve">  48  </w:t>
      </w:r>
      <w:r>
        <w:rPr>
          <w:rFonts w:hint="eastAsia" w:eastAsia="仿宋_GB2312"/>
          <w:color w:val="000000" w:themeColor="text1"/>
          <w:sz w:val="30"/>
          <w:szCs w:val="32"/>
          <w14:textFill>
            <w14:solidFill>
              <w14:schemeClr w14:val="tx1"/>
            </w14:solidFill>
          </w14:textFill>
        </w:rPr>
        <w:t>小时。</w:t>
      </w:r>
    </w:p>
    <w:p>
      <w:pPr>
        <w:pStyle w:val="9"/>
      </w:pPr>
      <w:r>
        <w:t xml:space="preserve">13.2 </w:t>
      </w:r>
      <w:r>
        <w:rPr>
          <w:rFonts w:hint="eastAsia"/>
        </w:rPr>
        <w:t>竣工验收</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13.2.2</w:t>
      </w:r>
      <w:r>
        <w:rPr>
          <w:rFonts w:hint="eastAsia" w:eastAsia="仿宋_GB2312"/>
          <w:color w:val="000000" w:themeColor="text1"/>
          <w:sz w:val="30"/>
          <w:szCs w:val="32"/>
          <w14:textFill>
            <w14:solidFill>
              <w14:schemeClr w14:val="tx1"/>
            </w14:solidFill>
          </w14:textFill>
        </w:rPr>
        <w:t>竣工验收程序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关于竣工验收程序的约定：</w:t>
      </w:r>
      <w:r>
        <w:rPr>
          <w:rFonts w:hint="eastAsia" w:eastAsia="仿宋_GB2312"/>
          <w:color w:val="000000" w:themeColor="text1"/>
          <w:sz w:val="30"/>
          <w:szCs w:val="32"/>
          <w:u w:val="single"/>
          <w14:textFill>
            <w14:solidFill>
              <w14:schemeClr w14:val="tx1"/>
            </w14:solidFill>
          </w14:textFill>
        </w:rPr>
        <w:t>竣工验收须经工程使用单位通过验收为准</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发包人不按照本项约定组织竣工验收、颁发工程接收证书的违约金的计算方法：</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13.2.3</w:t>
      </w:r>
      <w:r>
        <w:rPr>
          <w:rFonts w:hint="eastAsia" w:eastAsia="仿宋_GB2312"/>
          <w:color w:val="000000" w:themeColor="text1"/>
          <w:kern w:val="0"/>
          <w:sz w:val="30"/>
          <w:szCs w:val="32"/>
          <w14:textFill>
            <w14:solidFill>
              <w14:schemeClr w14:val="tx1"/>
            </w14:solidFill>
          </w14:textFill>
        </w:rPr>
        <w:t>竣工日期</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以发包人、承包人、监理人、设计人、勘察人（若有）、使用单位共同签署的《竣工验收报告》的签署日期为准。</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13.2.5</w:t>
      </w:r>
      <w:r>
        <w:rPr>
          <w:rFonts w:hint="eastAsia" w:eastAsia="仿宋_GB2312"/>
          <w:color w:val="000000" w:themeColor="text1"/>
          <w:sz w:val="30"/>
          <w:szCs w:val="32"/>
          <w14:textFill>
            <w14:solidFill>
              <w14:schemeClr w14:val="tx1"/>
            </w14:solidFill>
          </w14:textFill>
        </w:rPr>
        <w:t>移交、接收全部与部分工程</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承包人向发包人移交工程的期限：</w:t>
      </w:r>
      <w:r>
        <w:rPr>
          <w:rFonts w:hint="eastAsia" w:eastAsia="仿宋_GB2312"/>
          <w:color w:val="000000" w:themeColor="text1"/>
          <w:sz w:val="30"/>
          <w:szCs w:val="32"/>
          <w:u w:val="single"/>
          <w14:textFill>
            <w14:solidFill>
              <w14:schemeClr w14:val="tx1"/>
            </w14:solidFill>
          </w14:textFill>
        </w:rPr>
        <w:t>验收问题整改完成，经发包人再次验收合格后</w:t>
      </w:r>
      <w:r>
        <w:rPr>
          <w:rFonts w:eastAsia="仿宋_GB2312"/>
          <w:color w:val="000000" w:themeColor="text1"/>
          <w:sz w:val="30"/>
          <w:szCs w:val="32"/>
          <w:u w:val="single"/>
          <w14:textFill>
            <w14:solidFill>
              <w14:schemeClr w14:val="tx1"/>
            </w14:solidFill>
          </w14:textFill>
        </w:rPr>
        <w:t>7</w:t>
      </w:r>
      <w:r>
        <w:rPr>
          <w:rFonts w:hint="eastAsia" w:eastAsia="仿宋_GB2312"/>
          <w:color w:val="000000" w:themeColor="text1"/>
          <w:sz w:val="30"/>
          <w:szCs w:val="32"/>
          <w:u w:val="single"/>
          <w14:textFill>
            <w14:solidFill>
              <w14:schemeClr w14:val="tx1"/>
            </w14:solidFill>
          </w14:textFill>
        </w:rPr>
        <w:t>天内。</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发包人未按本合同约定接收全部或部分工程的，违约金的计算方法为：</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承包人未按时移交工程的，违约金的计算方法为：</w:t>
      </w:r>
      <w:r>
        <w:rPr>
          <w:rFonts w:eastAsia="仿宋_GB2312"/>
          <w:color w:val="000000" w:themeColor="text1"/>
          <w:sz w:val="30"/>
          <w:szCs w:val="32"/>
          <w:lang w:bidi="ar"/>
          <w14:textFill>
            <w14:solidFill>
              <w14:schemeClr w14:val="tx1"/>
            </w14:solidFill>
          </w14:textFill>
        </w:rPr>
        <w:t>每逾期一天按合同</w:t>
      </w:r>
      <w:r>
        <w:rPr>
          <w:rFonts w:hint="eastAsia" w:eastAsia="仿宋_GB2312"/>
          <w:color w:val="000000" w:themeColor="text1"/>
          <w:sz w:val="30"/>
          <w:szCs w:val="32"/>
          <w:lang w:bidi="ar"/>
          <w14:textFill>
            <w14:solidFill>
              <w14:schemeClr w14:val="tx1"/>
            </w14:solidFill>
          </w14:textFill>
        </w:rPr>
        <w:t>最终结算价</w:t>
      </w:r>
      <w:r>
        <w:rPr>
          <w:rFonts w:eastAsia="仿宋_GB2312"/>
          <w:color w:val="000000" w:themeColor="text1"/>
          <w:sz w:val="30"/>
          <w:szCs w:val="32"/>
          <w:lang w:bidi="ar"/>
          <w14:textFill>
            <w14:solidFill>
              <w14:schemeClr w14:val="tx1"/>
            </w14:solidFill>
          </w14:textFill>
        </w:rPr>
        <w:t>0.5‰的金额向发包人支付违约金</w:t>
      </w:r>
      <w:r>
        <w:rPr>
          <w:rFonts w:hint="eastAsia" w:eastAsia="仿宋_GB2312"/>
          <w:color w:val="000000" w:themeColor="text1"/>
          <w:sz w:val="30"/>
          <w:szCs w:val="32"/>
          <w:lang w:bidi="ar"/>
          <w14:textFill>
            <w14:solidFill>
              <w14:schemeClr w14:val="tx1"/>
            </w14:solidFill>
          </w14:textFill>
        </w:rPr>
        <w:t>，没有最终结算价的，按合同签约暂定</w:t>
      </w:r>
      <w:r>
        <w:rPr>
          <w:rFonts w:eastAsia="仿宋_GB2312"/>
          <w:color w:val="000000" w:themeColor="text1"/>
          <w:sz w:val="30"/>
          <w:szCs w:val="32"/>
          <w:lang w:bidi="ar"/>
          <w14:textFill>
            <w14:solidFill>
              <w14:schemeClr w14:val="tx1"/>
            </w14:solidFill>
          </w14:textFill>
        </w:rPr>
        <w:t>价</w:t>
      </w:r>
      <w:r>
        <w:rPr>
          <w:rFonts w:hint="eastAsia" w:eastAsia="仿宋_GB2312"/>
          <w:color w:val="000000" w:themeColor="text1"/>
          <w:sz w:val="30"/>
          <w:szCs w:val="32"/>
          <w:lang w:bidi="ar"/>
          <w14:textFill>
            <w14:solidFill>
              <w14:schemeClr w14:val="tx1"/>
            </w14:solidFill>
          </w14:textFill>
        </w:rPr>
        <w:t>的</w:t>
      </w:r>
      <w:r>
        <w:rPr>
          <w:rFonts w:eastAsia="仿宋_GB2312"/>
          <w:color w:val="000000" w:themeColor="text1"/>
          <w:sz w:val="30"/>
          <w:szCs w:val="32"/>
          <w:lang w:bidi="ar"/>
          <w14:textFill>
            <w14:solidFill>
              <w14:schemeClr w14:val="tx1"/>
            </w14:solidFill>
          </w14:textFill>
        </w:rPr>
        <w:t>0.5‰；逾期超过90天，每逾期一天按合同</w:t>
      </w:r>
      <w:r>
        <w:rPr>
          <w:rFonts w:hint="eastAsia" w:eastAsia="仿宋_GB2312"/>
          <w:color w:val="000000" w:themeColor="text1"/>
          <w:sz w:val="30"/>
          <w:szCs w:val="32"/>
          <w:lang w:bidi="ar"/>
          <w14:textFill>
            <w14:solidFill>
              <w14:schemeClr w14:val="tx1"/>
            </w14:solidFill>
          </w14:textFill>
        </w:rPr>
        <w:t>最终结算价</w:t>
      </w:r>
      <w:r>
        <w:rPr>
          <w:rFonts w:eastAsia="仿宋_GB2312"/>
          <w:color w:val="000000" w:themeColor="text1"/>
          <w:sz w:val="30"/>
          <w:szCs w:val="32"/>
          <w:lang w:bidi="ar"/>
          <w14:textFill>
            <w14:solidFill>
              <w14:schemeClr w14:val="tx1"/>
            </w14:solidFill>
          </w14:textFill>
        </w:rPr>
        <w:t>1‰的金额向发包人支付违约金，</w:t>
      </w:r>
      <w:r>
        <w:rPr>
          <w:rFonts w:hint="eastAsia" w:eastAsia="仿宋_GB2312"/>
          <w:color w:val="000000" w:themeColor="text1"/>
          <w:sz w:val="30"/>
          <w:szCs w:val="32"/>
          <w:lang w:bidi="ar"/>
          <w14:textFill>
            <w14:solidFill>
              <w14:schemeClr w14:val="tx1"/>
            </w14:solidFill>
          </w14:textFill>
        </w:rPr>
        <w:t>没有最终结算价的，按合同签约暂定</w:t>
      </w:r>
      <w:r>
        <w:rPr>
          <w:rFonts w:eastAsia="仿宋_GB2312"/>
          <w:color w:val="000000" w:themeColor="text1"/>
          <w:sz w:val="30"/>
          <w:szCs w:val="32"/>
          <w:lang w:bidi="ar"/>
          <w14:textFill>
            <w14:solidFill>
              <w14:schemeClr w14:val="tx1"/>
            </w14:solidFill>
          </w14:textFill>
        </w:rPr>
        <w:t>价</w:t>
      </w:r>
      <w:r>
        <w:rPr>
          <w:rFonts w:hint="eastAsia" w:eastAsia="仿宋_GB2312"/>
          <w:color w:val="000000" w:themeColor="text1"/>
          <w:sz w:val="30"/>
          <w:szCs w:val="32"/>
          <w:lang w:bidi="ar"/>
          <w14:textFill>
            <w14:solidFill>
              <w14:schemeClr w14:val="tx1"/>
            </w14:solidFill>
          </w14:textFill>
        </w:rPr>
        <w:t>的</w:t>
      </w:r>
      <w:r>
        <w:rPr>
          <w:rFonts w:eastAsia="仿宋_GB2312"/>
          <w:color w:val="000000" w:themeColor="text1"/>
          <w:sz w:val="30"/>
          <w:szCs w:val="32"/>
          <w:lang w:bidi="ar"/>
          <w14:textFill>
            <w14:solidFill>
              <w14:schemeClr w14:val="tx1"/>
            </w14:solidFill>
          </w14:textFill>
        </w:rPr>
        <w:t>1‰</w:t>
      </w:r>
      <w:r>
        <w:rPr>
          <w:rFonts w:hint="eastAsia" w:eastAsia="仿宋_GB2312"/>
          <w:color w:val="000000" w:themeColor="text1"/>
          <w:sz w:val="30"/>
          <w:szCs w:val="32"/>
          <w:lang w:bidi="ar"/>
          <w14:textFill>
            <w14:solidFill>
              <w14:schemeClr w14:val="tx1"/>
            </w14:solidFill>
          </w14:textFill>
        </w:rPr>
        <w:t>，</w:t>
      </w:r>
      <w:r>
        <w:rPr>
          <w:rFonts w:eastAsia="仿宋_GB2312"/>
          <w:color w:val="000000" w:themeColor="text1"/>
          <w:sz w:val="30"/>
          <w:szCs w:val="32"/>
          <w:lang w:bidi="ar"/>
          <w14:textFill>
            <w14:solidFill>
              <w14:schemeClr w14:val="tx1"/>
            </w14:solidFill>
          </w14:textFill>
        </w:rPr>
        <w:t>发包人并有权书面通知单方面解除未完成部分工程的合同。</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13.2.6</w:t>
      </w:r>
      <w:r>
        <w:rPr>
          <w:rFonts w:hint="eastAsia" w:eastAsia="仿宋_GB2312"/>
          <w:color w:val="000000" w:themeColor="text1"/>
          <w:sz w:val="30"/>
          <w:szCs w:val="32"/>
          <w14:textFill>
            <w14:solidFill>
              <w14:schemeClr w14:val="tx1"/>
            </w14:solidFill>
          </w14:textFill>
        </w:rPr>
        <w:t>竣工资料移交</w:t>
      </w:r>
    </w:p>
    <w:p>
      <w:pPr>
        <w:spacing w:after="156"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工程完成后，在组织竣工验收前，承包人应向发包人移交三套完整、合格的竣工资料及全套资料扫描电子版（硬盘存储），承包人提交的竣工资料不符合归档及备案要求的，发包人有权退回，承包人应当按要求重新提交合格的竣工资料，在未完成竣工资料移交前发包人不予组织竣工验收，由此造成工期逾期及其他损失，由承包人承担。</w:t>
      </w:r>
    </w:p>
    <w:p>
      <w:pPr>
        <w:spacing w:after="156"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为免异议，若双方因任何阶段的工程款金额、支付等事宜产生纠纷的，承包人仍应向发包人移交竣工资料及其他资料，不得以任何理由延迟或拒绝移交，前述纠纷由双方友好协商或通过本合同约定的争议解决方式解决。</w:t>
      </w:r>
    </w:p>
    <w:p>
      <w:pPr>
        <w:pStyle w:val="9"/>
      </w:pPr>
      <w:r>
        <w:t xml:space="preserve">13.3 </w:t>
      </w:r>
      <w:r>
        <w:rPr>
          <w:rFonts w:hint="eastAsia"/>
        </w:rPr>
        <w:t>工程试车</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13.3.1 </w:t>
      </w:r>
      <w:r>
        <w:rPr>
          <w:rFonts w:hint="eastAsia" w:eastAsia="仿宋_GB2312"/>
          <w:color w:val="000000" w:themeColor="text1"/>
          <w:kern w:val="0"/>
          <w:sz w:val="30"/>
          <w:szCs w:val="32"/>
          <w14:textFill>
            <w14:solidFill>
              <w14:schemeClr w14:val="tx1"/>
            </w14:solidFill>
          </w14:textFill>
        </w:rPr>
        <w:t>试车程序</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工程试车内容：</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1</w:t>
      </w:r>
      <w:r>
        <w:rPr>
          <w:rFonts w:hint="eastAsia" w:eastAsia="仿宋_GB2312"/>
          <w:color w:val="000000" w:themeColor="text1"/>
          <w:kern w:val="0"/>
          <w:sz w:val="30"/>
          <w:szCs w:val="32"/>
          <w14:textFill>
            <w14:solidFill>
              <w14:schemeClr w14:val="tx1"/>
            </w14:solidFill>
          </w14:textFill>
        </w:rPr>
        <w:t>）单机无负荷试车费用由</w:t>
      </w:r>
      <w:r>
        <w:rPr>
          <w:rFonts w:hint="eastAsia" w:eastAsia="仿宋_GB2312"/>
          <w:color w:val="000000" w:themeColor="text1"/>
          <w:sz w:val="30"/>
          <w:szCs w:val="32"/>
          <w:u w:val="single"/>
          <w14:textFill>
            <w14:solidFill>
              <w14:schemeClr w14:val="tx1"/>
            </w14:solidFill>
          </w14:textFill>
        </w:rPr>
        <w:t>承包人</w:t>
      </w:r>
      <w:r>
        <w:rPr>
          <w:rFonts w:hint="eastAsia" w:eastAsia="仿宋_GB2312"/>
          <w:color w:val="000000" w:themeColor="text1"/>
          <w:kern w:val="0"/>
          <w:sz w:val="30"/>
          <w:szCs w:val="32"/>
          <w14:textFill>
            <w14:solidFill>
              <w14:schemeClr w14:val="tx1"/>
            </w14:solidFill>
          </w14:textFill>
        </w:rPr>
        <w:t>承担；</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）无负荷联动试车费用由</w:t>
      </w:r>
      <w:r>
        <w:rPr>
          <w:rFonts w:hint="eastAsia" w:eastAsia="仿宋_GB2312"/>
          <w:color w:val="000000" w:themeColor="text1"/>
          <w:sz w:val="30"/>
          <w:szCs w:val="32"/>
          <w:u w:val="single"/>
          <w14:textFill>
            <w14:solidFill>
              <w14:schemeClr w14:val="tx1"/>
            </w14:solidFill>
          </w14:textFill>
        </w:rPr>
        <w:t>承包人</w:t>
      </w:r>
      <w:r>
        <w:rPr>
          <w:rFonts w:hint="eastAsia" w:eastAsia="仿宋_GB2312"/>
          <w:color w:val="000000" w:themeColor="text1"/>
          <w:kern w:val="0"/>
          <w:sz w:val="30"/>
          <w:szCs w:val="32"/>
          <w14:textFill>
            <w14:solidFill>
              <w14:schemeClr w14:val="tx1"/>
            </w14:solidFill>
          </w14:textFill>
        </w:rPr>
        <w:t>承担。</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13.3.3 </w:t>
      </w:r>
      <w:r>
        <w:rPr>
          <w:rFonts w:hint="eastAsia" w:eastAsia="仿宋_GB2312"/>
          <w:color w:val="000000" w:themeColor="text1"/>
          <w:kern w:val="0"/>
          <w:sz w:val="30"/>
          <w:szCs w:val="32"/>
          <w14:textFill>
            <w14:solidFill>
              <w14:schemeClr w14:val="tx1"/>
            </w14:solidFill>
          </w14:textFill>
        </w:rPr>
        <w:t>投料试车</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关于投料试车相关事项的约定：</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pStyle w:val="9"/>
      </w:pPr>
      <w:r>
        <w:t xml:space="preserve">13.6 </w:t>
      </w:r>
      <w:r>
        <w:rPr>
          <w:rFonts w:hint="eastAsia"/>
        </w:rPr>
        <w:t>竣工退场</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13.6.1 </w:t>
      </w:r>
      <w:r>
        <w:rPr>
          <w:rFonts w:hint="eastAsia" w:eastAsia="仿宋_GB2312"/>
          <w:color w:val="000000" w:themeColor="text1"/>
          <w:kern w:val="0"/>
          <w:sz w:val="30"/>
          <w:szCs w:val="32"/>
          <w14:textFill>
            <w14:solidFill>
              <w14:schemeClr w14:val="tx1"/>
            </w14:solidFill>
          </w14:textFill>
        </w:rPr>
        <w:t>竣工退场</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承包人完成竣工退场的期限：</w:t>
      </w:r>
      <w:r>
        <w:rPr>
          <w:rFonts w:hint="eastAsia" w:eastAsia="仿宋_GB2312"/>
          <w:color w:val="000000" w:themeColor="text1"/>
          <w:sz w:val="30"/>
          <w:szCs w:val="32"/>
          <w:u w:val="single"/>
          <w14:textFill>
            <w14:solidFill>
              <w14:schemeClr w14:val="tx1"/>
            </w14:solidFill>
          </w14:textFill>
        </w:rPr>
        <w:t>工程移交完成后</w:t>
      </w:r>
      <w:r>
        <w:rPr>
          <w:rFonts w:eastAsia="仿宋_GB2312"/>
          <w:color w:val="000000" w:themeColor="text1"/>
          <w:sz w:val="30"/>
          <w:szCs w:val="32"/>
          <w:u w:val="single"/>
          <w14:textFill>
            <w14:solidFill>
              <w14:schemeClr w14:val="tx1"/>
            </w14:solidFill>
          </w14:textFill>
        </w:rPr>
        <w:t>7</w:t>
      </w:r>
      <w:r>
        <w:rPr>
          <w:rFonts w:hint="eastAsia" w:eastAsia="仿宋_GB2312"/>
          <w:color w:val="000000" w:themeColor="text1"/>
          <w:sz w:val="30"/>
          <w:szCs w:val="32"/>
          <w:u w:val="single"/>
          <w14:textFill>
            <w14:solidFill>
              <w14:schemeClr w14:val="tx1"/>
            </w14:solidFill>
          </w14:textFill>
        </w:rPr>
        <w:t>天内</w:t>
      </w:r>
      <w:r>
        <w:rPr>
          <w:rFonts w:hint="eastAsia" w:eastAsia="仿宋_GB2312"/>
          <w:color w:val="000000" w:themeColor="text1"/>
          <w:kern w:val="0"/>
          <w:sz w:val="30"/>
          <w:szCs w:val="32"/>
          <w14:textFill>
            <w14:solidFill>
              <w14:schemeClr w14:val="tx1"/>
            </w14:solidFill>
          </w14:textFill>
        </w:rPr>
        <w:t>。</w:t>
      </w:r>
    </w:p>
    <w:p>
      <w:pPr>
        <w:pStyle w:val="8"/>
      </w:pPr>
      <w:r>
        <w:t xml:space="preserve">14. </w:t>
      </w:r>
      <w:r>
        <w:rPr>
          <w:rFonts w:hint="eastAsia"/>
        </w:rPr>
        <w:t>竣工结算</w:t>
      </w:r>
    </w:p>
    <w:p>
      <w:pPr>
        <w:pStyle w:val="9"/>
      </w:pPr>
      <w:r>
        <w:t xml:space="preserve">14.1 </w:t>
      </w:r>
      <w:r>
        <w:rPr>
          <w:rFonts w:hint="eastAsia"/>
        </w:rPr>
        <w:t>竣工结算申请</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承包人提交竣工结算申请单的期限：</w:t>
      </w:r>
      <w:r>
        <w:rPr>
          <w:rFonts w:hint="eastAsia" w:eastAsia="仿宋_GB2312"/>
          <w:color w:val="000000" w:themeColor="text1"/>
          <w:sz w:val="30"/>
          <w:szCs w:val="32"/>
          <w:u w:val="single"/>
          <w14:textFill>
            <w14:solidFill>
              <w14:schemeClr w14:val="tx1"/>
            </w14:solidFill>
          </w14:textFill>
        </w:rPr>
        <w:t>工程竣工验收合格后30日内承包人应按照发包人《工程项目结算审计报审资料编制规范》，如实编制、申报并完成竣工结算资料的提交，承包人提交的竣工结算资料不符合发包人要求的，发包人有权退回，承包人应当按要求重新提交合格的竣工结算资料。逾期完成提交的，每逾期一天视情节严重情况承包人承担1000-5000元的违约金（前后违约条款金额不一致的，以标准高者为准），由此造成的工期延误及其他损失由承包人承担。</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竣工结算申请单应包括的内容：</w:t>
      </w:r>
      <w:r>
        <w:rPr>
          <w:rFonts w:hint="eastAsia" w:eastAsia="仿宋_GB2312"/>
          <w:color w:val="000000" w:themeColor="text1"/>
          <w:sz w:val="30"/>
          <w:szCs w:val="32"/>
          <w:u w:val="single"/>
          <w14:textFill>
            <w14:solidFill>
              <w14:schemeClr w14:val="tx1"/>
            </w14:solidFill>
          </w14:textFill>
        </w:rPr>
        <w:t>竣工结算书、竣工结算报审会签表、竣工图、施工合同、结算依据资料（包括但不限于图纸会审记录、设计变更、工作联系单、工程量签证、批价单、工期说明、监理总结、甲供材对账单、施工分界界面划分说明等）；资料份数：竣工图一套，其他原件一套，复印件一套。</w:t>
      </w:r>
    </w:p>
    <w:p>
      <w:pPr>
        <w:pStyle w:val="9"/>
      </w:pPr>
      <w:r>
        <w:t xml:space="preserve">14.2 </w:t>
      </w:r>
      <w:r>
        <w:rPr>
          <w:rFonts w:hint="eastAsia"/>
        </w:rPr>
        <w:t>竣工结算审核</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u w:val="single"/>
          <w14:textFill>
            <w14:solidFill>
              <w14:schemeClr w14:val="tx1"/>
            </w14:solidFill>
          </w14:textFill>
        </w:rPr>
        <w:t>发包人应在收到提交的经审核的竣工结算申请单及结算资料并移交发包人审计机构进入结算审计程序后，120天内给予确认或提出意见。在结算审计过程中，承包人负责积极配合工程审计单位开展工作，由于结算资料不齐全中需要提供证明文明或者补充相关资料，承包人在收到发包人的通知后需在</w:t>
      </w:r>
      <w:r>
        <w:rPr>
          <w:rFonts w:eastAsia="仿宋_GB2312"/>
          <w:color w:val="000000" w:themeColor="text1"/>
          <w:sz w:val="30"/>
          <w:szCs w:val="32"/>
          <w:u w:val="single"/>
          <w14:textFill>
            <w14:solidFill>
              <w14:schemeClr w14:val="tx1"/>
            </w14:solidFill>
          </w14:textFill>
        </w:rPr>
        <w:t>5</w:t>
      </w:r>
      <w:r>
        <w:rPr>
          <w:rFonts w:hint="eastAsia" w:eastAsia="仿宋_GB2312"/>
          <w:color w:val="000000" w:themeColor="text1"/>
          <w:sz w:val="30"/>
          <w:szCs w:val="32"/>
          <w:u w:val="single"/>
          <w14:textFill>
            <w14:solidFill>
              <w14:schemeClr w14:val="tx1"/>
            </w14:solidFill>
          </w14:textFill>
        </w:rPr>
        <w:t>个工作日内完成提交补充资料，逾期可申请延期，最长不超过</w:t>
      </w:r>
      <w:r>
        <w:rPr>
          <w:rFonts w:eastAsia="仿宋_GB2312"/>
          <w:color w:val="000000" w:themeColor="text1"/>
          <w:sz w:val="30"/>
          <w:szCs w:val="32"/>
          <w:u w:val="single"/>
          <w14:textFill>
            <w14:solidFill>
              <w14:schemeClr w14:val="tx1"/>
            </w14:solidFill>
          </w14:textFill>
        </w:rPr>
        <w:t>5</w:t>
      </w:r>
      <w:r>
        <w:rPr>
          <w:rFonts w:hint="eastAsia" w:eastAsia="仿宋_GB2312"/>
          <w:color w:val="000000" w:themeColor="text1"/>
          <w:sz w:val="30"/>
          <w:szCs w:val="32"/>
          <w:u w:val="single"/>
          <w14:textFill>
            <w14:solidFill>
              <w14:schemeClr w14:val="tx1"/>
            </w14:solidFill>
          </w14:textFill>
        </w:rPr>
        <w:t>天。如果再次逾期，则视为承包人放弃诉求，将以利于发包人的原则处理，承包人须无条件认可最终审计结果。由于承包人补充资料不及时造成的竣工结算审批期限延期的，由承包人承担一切损失和后果。</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发包人审批竣工付款申请单的期限：</w:t>
      </w:r>
      <w:r>
        <w:rPr>
          <w:rFonts w:hint="eastAsia" w:eastAsia="仿宋_GB2312"/>
          <w:color w:val="000000" w:themeColor="text1"/>
          <w:kern w:val="0"/>
          <w:sz w:val="30"/>
          <w:szCs w:val="32"/>
          <w:u w:val="single"/>
          <w14:textFill>
            <w14:solidFill>
              <w14:schemeClr w14:val="tx1"/>
            </w14:solidFill>
          </w14:textFill>
        </w:rPr>
        <w:t>竣工结算经发包人审核完成，并承包人将竣工付款申请单提交发包人后，发包人</w:t>
      </w:r>
      <w:r>
        <w:rPr>
          <w:rFonts w:eastAsia="仿宋_GB2312"/>
          <w:color w:val="000000" w:themeColor="text1"/>
          <w:kern w:val="0"/>
          <w:sz w:val="30"/>
          <w:szCs w:val="32"/>
          <w:u w:val="single"/>
          <w14:textFill>
            <w14:solidFill>
              <w14:schemeClr w14:val="tx1"/>
            </w14:solidFill>
          </w14:textFill>
        </w:rPr>
        <w:t>28</w:t>
      </w:r>
      <w:r>
        <w:rPr>
          <w:rFonts w:hint="eastAsia" w:eastAsia="仿宋_GB2312"/>
          <w:color w:val="000000" w:themeColor="text1"/>
          <w:kern w:val="0"/>
          <w:sz w:val="30"/>
          <w:szCs w:val="32"/>
          <w:u w:val="single"/>
          <w14:textFill>
            <w14:solidFill>
              <w14:schemeClr w14:val="tx1"/>
            </w14:solidFill>
          </w14:textFill>
        </w:rPr>
        <w:t>天内完成审批。</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发包人完成竣工付款的期限：</w:t>
      </w:r>
      <w:r>
        <w:rPr>
          <w:rFonts w:hint="eastAsia" w:eastAsia="仿宋_GB2312"/>
          <w:color w:val="000000" w:themeColor="text1"/>
          <w:sz w:val="30"/>
          <w:szCs w:val="32"/>
          <w:u w:val="single"/>
          <w14:textFill>
            <w14:solidFill>
              <w14:schemeClr w14:val="tx1"/>
            </w14:solidFill>
          </w14:textFill>
        </w:rPr>
        <w:t>竣工付款申请审批后</w:t>
      </w:r>
      <w:r>
        <w:rPr>
          <w:rFonts w:eastAsia="仿宋_GB2312"/>
          <w:color w:val="000000" w:themeColor="text1"/>
          <w:sz w:val="30"/>
          <w:szCs w:val="32"/>
          <w:u w:val="single"/>
          <w14:textFill>
            <w14:solidFill>
              <w14:schemeClr w14:val="tx1"/>
            </w14:solidFill>
          </w14:textFill>
        </w:rPr>
        <w:t>28</w:t>
      </w:r>
      <w:r>
        <w:rPr>
          <w:rFonts w:hint="eastAsia" w:eastAsia="仿宋_GB2312"/>
          <w:color w:val="000000" w:themeColor="text1"/>
          <w:sz w:val="30"/>
          <w:szCs w:val="32"/>
          <w:u w:val="single"/>
          <w14:textFill>
            <w14:solidFill>
              <w14:schemeClr w14:val="tx1"/>
            </w14:solidFill>
          </w14:textFill>
        </w:rPr>
        <w:t>天内</w:t>
      </w:r>
      <w:r>
        <w:rPr>
          <w:rFonts w:hint="eastAsia" w:eastAsia="仿宋_GB2312"/>
          <w:color w:val="000000" w:themeColor="text1"/>
          <w:kern w:val="0"/>
          <w:sz w:val="30"/>
          <w:szCs w:val="32"/>
          <w:u w:val="single"/>
          <w14:textFill>
            <w14:solidFill>
              <w14:schemeClr w14:val="tx1"/>
            </w14:solidFill>
          </w14:textFill>
        </w:rPr>
        <w:t>支付</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关于竣工付款证书异议部分复核的方式和程序：</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pStyle w:val="9"/>
      </w:pPr>
      <w:r>
        <w:t xml:space="preserve">14.4 </w:t>
      </w:r>
      <w:r>
        <w:rPr>
          <w:rFonts w:hint="eastAsia"/>
        </w:rPr>
        <w:t>最终结清</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14.4.1 </w:t>
      </w:r>
      <w:r>
        <w:rPr>
          <w:rFonts w:hint="eastAsia" w:eastAsia="仿宋_GB2312"/>
          <w:color w:val="000000" w:themeColor="text1"/>
          <w:kern w:val="0"/>
          <w:sz w:val="30"/>
          <w:szCs w:val="32"/>
          <w14:textFill>
            <w14:solidFill>
              <w14:schemeClr w14:val="tx1"/>
            </w14:solidFill>
          </w14:textFill>
        </w:rPr>
        <w:t>最终结清申请单</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承包人提交最终结清申请单的份数：</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三份</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或按发包人要求</w:t>
      </w:r>
      <w:r>
        <w:rPr>
          <w:rFonts w:eastAsia="仿宋_GB2312"/>
          <w:color w:val="000000" w:themeColor="text1"/>
          <w:sz w:val="30"/>
          <w:szCs w:val="32"/>
          <w:u w:val="single"/>
          <w14:textFill>
            <w14:solidFill>
              <w14:schemeClr w14:val="tx1"/>
            </w14:solidFill>
          </w14:textFill>
        </w:rPr>
        <w:t xml:space="preserve"> </w:t>
      </w:r>
      <w:r>
        <w:rPr>
          <w:rFonts w:eastAsia="仿宋_GB2312"/>
          <w:i/>
          <w:iCs/>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承包人提交最终结算申请单的期限：</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14.4.2 </w:t>
      </w:r>
      <w:r>
        <w:rPr>
          <w:rFonts w:hint="eastAsia" w:eastAsia="仿宋_GB2312"/>
          <w:color w:val="000000" w:themeColor="text1"/>
          <w:sz w:val="30"/>
          <w:szCs w:val="32"/>
          <w14:textFill>
            <w14:solidFill>
              <w14:schemeClr w14:val="tx1"/>
            </w14:solidFill>
          </w14:textFill>
        </w:rPr>
        <w:t>最终结清证书和支付</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）发包人完成最终结清申请单的审批并颁发最终结清证书的期限：</w:t>
      </w:r>
      <w:r>
        <w:rPr>
          <w:rFonts w:eastAsia="仿宋_GB2312"/>
          <w:color w:val="000000" w:themeColor="text1"/>
          <w:sz w:val="30"/>
          <w:szCs w:val="32"/>
          <w:u w:val="single"/>
          <w14:textFill>
            <w14:solidFill>
              <w14:schemeClr w14:val="tx1"/>
            </w14:solidFill>
          </w14:textFill>
        </w:rPr>
        <w:t xml:space="preserve">  28</w:t>
      </w:r>
      <w:r>
        <w:rPr>
          <w:rFonts w:hint="eastAsia" w:eastAsia="仿宋_GB2312"/>
          <w:color w:val="000000" w:themeColor="text1"/>
          <w:sz w:val="30"/>
          <w:szCs w:val="32"/>
          <w:u w:val="single"/>
          <w14:textFill>
            <w14:solidFill>
              <w14:schemeClr w14:val="tx1"/>
            </w14:solidFill>
          </w14:textFill>
        </w:rPr>
        <w:t>天</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）发包人完成支付的期限：</w:t>
      </w:r>
      <w:r>
        <w:rPr>
          <w:rFonts w:eastAsia="仿宋_GB2312"/>
          <w:color w:val="000000" w:themeColor="text1"/>
          <w:sz w:val="30"/>
          <w:szCs w:val="32"/>
          <w:u w:val="single"/>
          <w14:textFill>
            <w14:solidFill>
              <w14:schemeClr w14:val="tx1"/>
            </w14:solidFill>
          </w14:textFill>
        </w:rPr>
        <w:t xml:space="preserve">  28</w:t>
      </w:r>
      <w:r>
        <w:rPr>
          <w:rFonts w:hint="eastAsia" w:eastAsia="仿宋_GB2312"/>
          <w:color w:val="000000" w:themeColor="text1"/>
          <w:sz w:val="30"/>
          <w:szCs w:val="32"/>
          <w:u w:val="single"/>
          <w14:textFill>
            <w14:solidFill>
              <w14:schemeClr w14:val="tx1"/>
            </w14:solidFill>
          </w14:textFill>
        </w:rPr>
        <w:t>天</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pStyle w:val="8"/>
      </w:pPr>
      <w:r>
        <w:t xml:space="preserve">15. </w:t>
      </w:r>
      <w:r>
        <w:rPr>
          <w:rFonts w:hint="eastAsia"/>
        </w:rPr>
        <w:t>缺陷责任期与保修</w:t>
      </w:r>
    </w:p>
    <w:p>
      <w:pPr>
        <w:pStyle w:val="9"/>
      </w:pPr>
      <w:r>
        <w:t>15.2</w:t>
      </w:r>
      <w:r>
        <w:rPr>
          <w:rFonts w:hint="eastAsia"/>
        </w:rPr>
        <w:t>缺陷责任期</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缺陷责任期的具体期限：</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执行附件</w:t>
      </w:r>
      <w:r>
        <w:rPr>
          <w:rFonts w:eastAsia="仿宋_GB2312"/>
          <w:color w:val="000000" w:themeColor="text1"/>
          <w:sz w:val="30"/>
          <w:szCs w:val="32"/>
          <w:u w:val="single"/>
          <w14:textFill>
            <w14:solidFill>
              <w14:schemeClr w14:val="tx1"/>
            </w14:solidFill>
          </w14:textFill>
        </w:rPr>
        <w:t>5</w:t>
      </w:r>
      <w:r>
        <w:rPr>
          <w:rFonts w:hint="eastAsia" w:eastAsia="仿宋_GB2312"/>
          <w:color w:val="000000" w:themeColor="text1"/>
          <w:sz w:val="30"/>
          <w:szCs w:val="32"/>
          <w:u w:val="single"/>
          <w14:textFill>
            <w14:solidFill>
              <w14:schemeClr w14:val="tx1"/>
            </w14:solidFill>
          </w14:textFill>
        </w:rPr>
        <w:t>《工程质量保修书》。</w:t>
      </w:r>
    </w:p>
    <w:p>
      <w:pPr>
        <w:pStyle w:val="9"/>
      </w:pPr>
      <w:r>
        <w:t>15.3</w:t>
      </w:r>
      <w:r>
        <w:rPr>
          <w:rFonts w:hint="eastAsia"/>
        </w:rPr>
        <w:t>质量保证金</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关于是否扣留质量保证金的约定：</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是</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15.3.1 </w:t>
      </w:r>
      <w:r>
        <w:rPr>
          <w:rFonts w:hint="eastAsia" w:eastAsia="仿宋_GB2312"/>
          <w:color w:val="000000" w:themeColor="text1"/>
          <w:sz w:val="30"/>
          <w:szCs w:val="32"/>
          <w14:textFill>
            <w14:solidFill>
              <w14:schemeClr w14:val="tx1"/>
            </w14:solidFill>
          </w14:textFill>
        </w:rPr>
        <w:t>承包人提供质量保证金的方式</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质量保证金采用以下第</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2</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种方式：</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1</w:t>
      </w:r>
      <w:r>
        <w:rPr>
          <w:rFonts w:hint="eastAsia" w:eastAsia="仿宋_GB2312"/>
          <w:color w:val="000000" w:themeColor="text1"/>
          <w:kern w:val="0"/>
          <w:sz w:val="30"/>
          <w:szCs w:val="32"/>
          <w14:textFill>
            <w14:solidFill>
              <w14:schemeClr w14:val="tx1"/>
            </w14:solidFill>
          </w14:textFill>
        </w:rPr>
        <w:t>）质量保证金保函，保证金额为：</w:t>
      </w:r>
      <w:r>
        <w:rPr>
          <w:rFonts w:eastAsia="仿宋_GB2312"/>
          <w:color w:val="000000" w:themeColor="text1"/>
          <w:kern w:val="0"/>
          <w:sz w:val="30"/>
          <w:szCs w:val="32"/>
          <w:u w:val="single"/>
          <w14:textFill>
            <w14:solidFill>
              <w14:schemeClr w14:val="tx1"/>
            </w14:solidFill>
          </w14:textFill>
        </w:rPr>
        <w:t xml:space="preserve"> / </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 xml:space="preserve"> </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kern w:val="0"/>
          <w:sz w:val="30"/>
          <w:szCs w:val="32"/>
          <w:u w:val="single"/>
        </w:rPr>
        <w:t>结算款的</w:t>
      </w:r>
      <w:r>
        <w:rPr>
          <w:rFonts w:eastAsia="仿宋_GB2312"/>
          <w:color w:val="000000" w:themeColor="text1"/>
          <w:kern w:val="0"/>
          <w:sz w:val="30"/>
          <w:szCs w:val="32"/>
          <w:u w:val="single"/>
          <w14:textFill>
            <w14:solidFill>
              <w14:schemeClr w14:val="tx1"/>
            </w14:solidFill>
          </w14:textFill>
        </w:rPr>
        <w:t xml:space="preserve">3 </w:t>
      </w:r>
      <w:r>
        <w:rPr>
          <w:rFonts w:eastAsia="仿宋_GB2312"/>
          <w:color w:val="000000" w:themeColor="text1"/>
          <w:kern w:val="0"/>
          <w:sz w:val="30"/>
          <w:szCs w:val="32"/>
          <w14:textFill>
            <w14:solidFill>
              <w14:schemeClr w14:val="tx1"/>
            </w14:solidFill>
          </w14:textFill>
        </w:rPr>
        <w:t>%</w:t>
      </w:r>
      <w:r>
        <w:rPr>
          <w:rFonts w:hint="eastAsia" w:eastAsia="仿宋_GB2312"/>
          <w:color w:val="000000" w:themeColor="text1"/>
          <w:kern w:val="0"/>
          <w:sz w:val="30"/>
          <w:szCs w:val="32"/>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3</w:t>
      </w:r>
      <w:r>
        <w:rPr>
          <w:rFonts w:hint="eastAsia" w:eastAsia="仿宋_GB2312"/>
          <w:color w:val="000000" w:themeColor="text1"/>
          <w:kern w:val="0"/>
          <w:sz w:val="30"/>
          <w:szCs w:val="32"/>
          <w14:textFill>
            <w14:solidFill>
              <w14:schemeClr w14:val="tx1"/>
            </w14:solidFill>
          </w14:textFill>
        </w:rPr>
        <w:t>）其他方式</w:t>
      </w:r>
      <w:r>
        <w:rPr>
          <w:rFonts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u w:val="single"/>
          <w14:textFill>
            <w14:solidFill>
              <w14:schemeClr w14:val="tx1"/>
            </w14:solidFill>
          </w14:textFill>
        </w:rPr>
        <w:t xml:space="preserve">  /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15.3.2 </w:t>
      </w:r>
      <w:r>
        <w:rPr>
          <w:rFonts w:hint="eastAsia" w:eastAsia="仿宋_GB2312"/>
          <w:color w:val="000000" w:themeColor="text1"/>
          <w:sz w:val="30"/>
          <w:szCs w:val="32"/>
          <w14:textFill>
            <w14:solidFill>
              <w14:schemeClr w14:val="tx1"/>
            </w14:solidFill>
          </w14:textFill>
        </w:rPr>
        <w:t>质量保证金的扣留</w:t>
      </w:r>
      <w:r>
        <w:rPr>
          <w:rFonts w:eastAsia="仿宋_GB2312"/>
          <w:color w:val="000000" w:themeColor="text1"/>
          <w:sz w:val="30"/>
          <w:szCs w:val="32"/>
          <w14:textFill>
            <w14:solidFill>
              <w14:schemeClr w14:val="tx1"/>
            </w14:solidFill>
          </w14:textFill>
        </w:rPr>
        <w:t xml:space="preserve"> </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质量保证金的扣留采取以下第</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2</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种方式：</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1</w:t>
      </w:r>
      <w:r>
        <w:rPr>
          <w:rFonts w:hint="eastAsia" w:eastAsia="仿宋_GB2312"/>
          <w:color w:val="000000" w:themeColor="text1"/>
          <w:kern w:val="0"/>
          <w:sz w:val="30"/>
          <w:szCs w:val="32"/>
          <w14:textFill>
            <w14:solidFill>
              <w14:schemeClr w14:val="tx1"/>
            </w14:solidFill>
          </w14:textFill>
        </w:rPr>
        <w:t>）在支付工程进度款时逐次扣留，在此情形下，质量保证金的计算基数不包括预付款的支付、扣回以及价格调整的金额；</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）工程竣工结算时一次性扣留质量保证金；</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3</w:t>
      </w:r>
      <w:r>
        <w:rPr>
          <w:rFonts w:hint="eastAsia" w:eastAsia="仿宋_GB2312"/>
          <w:color w:val="000000" w:themeColor="text1"/>
          <w:kern w:val="0"/>
          <w:sz w:val="30"/>
          <w:szCs w:val="32"/>
          <w14:textFill>
            <w14:solidFill>
              <w14:schemeClr w14:val="tx1"/>
            </w14:solidFill>
          </w14:textFill>
        </w:rPr>
        <w:t>）其他扣留方式</w:t>
      </w:r>
      <w:r>
        <w:rPr>
          <w:rFonts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u w:val="single"/>
          <w14:textFill>
            <w14:solidFill>
              <w14:schemeClr w14:val="tx1"/>
            </w14:solidFill>
          </w14:textFill>
        </w:rPr>
        <w:t xml:space="preserve">  /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i/>
          <w:iCs/>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关于质量保证金的补充约定：</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无</w:t>
      </w:r>
      <w:r>
        <w:rPr>
          <w:rFonts w:eastAsia="仿宋_GB2312"/>
          <w:i/>
          <w:iCs/>
          <w:color w:val="000000" w:themeColor="text1"/>
          <w:kern w:val="0"/>
          <w:sz w:val="30"/>
          <w:szCs w:val="32"/>
          <w:u w:val="single"/>
          <w14:textFill>
            <w14:solidFill>
              <w14:schemeClr w14:val="tx1"/>
            </w14:solidFill>
          </w14:textFill>
        </w:rPr>
        <w:t xml:space="preserve"> </w:t>
      </w:r>
      <w:r>
        <w:rPr>
          <w:rFonts w:hint="eastAsia" w:eastAsia="仿宋_GB2312"/>
          <w:i/>
          <w:iCs/>
          <w:color w:val="000000" w:themeColor="text1"/>
          <w:kern w:val="0"/>
          <w:sz w:val="30"/>
          <w:szCs w:val="32"/>
          <w14:textFill>
            <w14:solidFill>
              <w14:schemeClr w14:val="tx1"/>
            </w14:solidFill>
          </w14:textFill>
        </w:rPr>
        <w:t>。</w:t>
      </w:r>
    </w:p>
    <w:p>
      <w:pPr>
        <w:pStyle w:val="9"/>
      </w:pPr>
      <w:r>
        <w:t>15.4</w:t>
      </w:r>
      <w:r>
        <w:rPr>
          <w:rFonts w:hint="eastAsia"/>
        </w:rPr>
        <w:t>保修</w:t>
      </w:r>
    </w:p>
    <w:p>
      <w:pPr>
        <w:spacing w:line="360" w:lineRule="auto"/>
        <w:ind w:firstLine="585" w:firstLineChars="195"/>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15.4.1 </w:t>
      </w:r>
      <w:r>
        <w:rPr>
          <w:rFonts w:hint="eastAsia" w:eastAsia="仿宋_GB2312"/>
          <w:color w:val="000000" w:themeColor="text1"/>
          <w:sz w:val="30"/>
          <w:szCs w:val="32"/>
          <w14:textFill>
            <w14:solidFill>
              <w14:schemeClr w14:val="tx1"/>
            </w14:solidFill>
          </w14:textFill>
        </w:rPr>
        <w:t>保修责任</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工程保修期为：</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详见本合同附件《工程质量保修书》</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585" w:firstLineChars="195"/>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15.4.3 </w:t>
      </w:r>
      <w:r>
        <w:rPr>
          <w:rFonts w:hint="eastAsia" w:eastAsia="仿宋_GB2312"/>
          <w:color w:val="000000" w:themeColor="text1"/>
          <w:sz w:val="30"/>
          <w:szCs w:val="32"/>
          <w14:textFill>
            <w14:solidFill>
              <w14:schemeClr w14:val="tx1"/>
            </w14:solidFill>
          </w14:textFill>
        </w:rPr>
        <w:t>修复通知</w:t>
      </w:r>
    </w:p>
    <w:p>
      <w:pPr>
        <w:spacing w:line="360" w:lineRule="auto"/>
        <w:ind w:firstLine="585" w:firstLineChars="195"/>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承包人收到保修通知并到达工程现场的合理时间：</w:t>
      </w:r>
      <w:r>
        <w:rPr>
          <w:rFonts w:eastAsia="仿宋_GB2312"/>
          <w:color w:val="000000" w:themeColor="text1"/>
          <w:kern w:val="0"/>
          <w:sz w:val="30"/>
          <w:szCs w:val="32"/>
          <w:u w:val="single"/>
          <w14:textFill>
            <w14:solidFill>
              <w14:schemeClr w14:val="tx1"/>
            </w14:solidFill>
          </w14:textFill>
        </w:rPr>
        <w:t>24</w:t>
      </w:r>
      <w:r>
        <w:rPr>
          <w:rFonts w:hint="eastAsia" w:eastAsia="仿宋_GB2312"/>
          <w:color w:val="000000" w:themeColor="text1"/>
          <w:kern w:val="0"/>
          <w:sz w:val="30"/>
          <w:szCs w:val="32"/>
          <w:u w:val="single"/>
          <w14:textFill>
            <w14:solidFill>
              <w14:schemeClr w14:val="tx1"/>
            </w14:solidFill>
          </w14:textFill>
        </w:rPr>
        <w:t>小时之内</w:t>
      </w:r>
      <w:r>
        <w:rPr>
          <w:rFonts w:hint="eastAsia" w:eastAsia="仿宋_GB2312"/>
          <w:color w:val="000000" w:themeColor="text1"/>
          <w:kern w:val="0"/>
          <w:sz w:val="30"/>
          <w:szCs w:val="32"/>
          <w14:textFill>
            <w14:solidFill>
              <w14:schemeClr w14:val="tx1"/>
            </w14:solidFill>
          </w14:textFill>
        </w:rPr>
        <w:t>。</w:t>
      </w:r>
    </w:p>
    <w:p>
      <w:pPr>
        <w:pStyle w:val="8"/>
      </w:pPr>
      <w:r>
        <w:t xml:space="preserve">16. </w:t>
      </w:r>
      <w:r>
        <w:rPr>
          <w:rFonts w:hint="eastAsia"/>
        </w:rPr>
        <w:t>违约</w:t>
      </w:r>
    </w:p>
    <w:p>
      <w:pPr>
        <w:pStyle w:val="9"/>
      </w:pPr>
      <w:r>
        <w:t xml:space="preserve">16.1 </w:t>
      </w:r>
      <w:r>
        <w:rPr>
          <w:rFonts w:hint="eastAsia"/>
        </w:rPr>
        <w:t>发包人违约</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16.1.1</w:t>
      </w:r>
      <w:r>
        <w:rPr>
          <w:rFonts w:hint="eastAsia" w:eastAsia="仿宋_GB2312"/>
          <w:color w:val="000000" w:themeColor="text1"/>
          <w:sz w:val="30"/>
          <w:szCs w:val="32"/>
          <w14:textFill>
            <w14:solidFill>
              <w14:schemeClr w14:val="tx1"/>
            </w14:solidFill>
          </w14:textFill>
        </w:rPr>
        <w:t>发包人违约的情形</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发包人违约的其他情形：</w:t>
      </w:r>
      <w:r>
        <w:rPr>
          <w:rFonts w:eastAsia="仿宋_GB2312"/>
          <w:color w:val="000000" w:themeColor="text1"/>
          <w:kern w:val="0"/>
          <w:sz w:val="30"/>
          <w:szCs w:val="32"/>
          <w:u w:val="single"/>
          <w14:textFill>
            <w14:solidFill>
              <w14:schemeClr w14:val="tx1"/>
            </w14:solidFill>
          </w14:textFill>
        </w:rPr>
        <w:t xml:space="preserve">  </w:t>
      </w:r>
      <w:r>
        <w:rPr>
          <w:rFonts w:ascii="Arial" w:hAnsi="Arial" w:eastAsia="仿宋_GB2312" w:cs="Arial"/>
          <w:color w:val="000000" w:themeColor="text1"/>
          <w:kern w:val="0"/>
          <w:sz w:val="30"/>
          <w:szCs w:val="32"/>
          <w:u w:val="single"/>
          <w14:textFill>
            <w14:solidFill>
              <w14:schemeClr w14:val="tx1"/>
            </w14:solidFill>
          </w14:textFill>
        </w:rPr>
        <w:t>/</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color w:val="000000" w:themeColor="text1"/>
          <w:sz w:val="30"/>
          <w14:textFill>
            <w14:solidFill>
              <w14:schemeClr w14:val="tx1"/>
            </w14:solidFill>
          </w14:textFill>
        </w:rPr>
      </w:pPr>
      <w:r>
        <w:rPr>
          <w:color w:val="000000" w:themeColor="text1"/>
          <w:sz w:val="30"/>
          <w14:textFill>
            <w14:solidFill>
              <w14:schemeClr w14:val="tx1"/>
            </w14:solidFill>
          </w14:textFill>
        </w:rPr>
        <w:t>16.1.2</w:t>
      </w:r>
      <w:r>
        <w:rPr>
          <w:rFonts w:hint="eastAsia"/>
          <w:color w:val="000000" w:themeColor="text1"/>
          <w:sz w:val="30"/>
          <w14:textFill>
            <w14:solidFill>
              <w14:schemeClr w14:val="tx1"/>
            </w14:solidFill>
          </w14:textFill>
        </w:rPr>
        <w:t>发包人违约的责任</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发包人违约责任的承担方式和计算方法：</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1</w:t>
      </w:r>
      <w:r>
        <w:rPr>
          <w:rFonts w:hint="eastAsia" w:eastAsia="仿宋_GB2312"/>
          <w:color w:val="000000" w:themeColor="text1"/>
          <w:kern w:val="0"/>
          <w:sz w:val="30"/>
          <w:szCs w:val="32"/>
          <w14:textFill>
            <w14:solidFill>
              <w14:schemeClr w14:val="tx1"/>
            </w14:solidFill>
          </w14:textFill>
        </w:rPr>
        <w:t>）因发包人原因未能在计划开工日期前</w:t>
      </w:r>
      <w:r>
        <w:rPr>
          <w:rFonts w:eastAsia="仿宋_GB2312"/>
          <w:color w:val="000000" w:themeColor="text1"/>
          <w:kern w:val="0"/>
          <w:sz w:val="30"/>
          <w:szCs w:val="32"/>
          <w14:textFill>
            <w14:solidFill>
              <w14:schemeClr w14:val="tx1"/>
            </w14:solidFill>
          </w14:textFill>
        </w:rPr>
        <w:t>7</w:t>
      </w:r>
      <w:r>
        <w:rPr>
          <w:rFonts w:hint="eastAsia" w:eastAsia="仿宋_GB2312"/>
          <w:color w:val="000000" w:themeColor="text1"/>
          <w:kern w:val="0"/>
          <w:sz w:val="30"/>
          <w:szCs w:val="32"/>
          <w14:textFill>
            <w14:solidFill>
              <w14:schemeClr w14:val="tx1"/>
            </w14:solidFill>
          </w14:textFill>
        </w:rPr>
        <w:t>天内下达开工通知的违约责任：</w:t>
      </w:r>
      <w:r>
        <w:rPr>
          <w:rFonts w:hint="eastAsia" w:eastAsia="仿宋_GB2312"/>
          <w:color w:val="000000" w:themeColor="text1"/>
          <w:kern w:val="0"/>
          <w:sz w:val="30"/>
          <w:szCs w:val="32"/>
          <w:u w:val="single"/>
          <w14:textFill>
            <w14:solidFill>
              <w14:schemeClr w14:val="tx1"/>
            </w14:solidFill>
          </w14:textFill>
        </w:rPr>
        <w:t>发包人发出延期通知，调整开工日期，工期予以顺延。</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）因发包人原因未能按合同约定支付合同价款的违约责任：承包人应给给予发包人</w:t>
      </w:r>
      <w:r>
        <w:rPr>
          <w:rFonts w:eastAsia="仿宋_GB2312"/>
          <w:color w:val="000000" w:themeColor="text1"/>
          <w:kern w:val="0"/>
          <w:sz w:val="30"/>
          <w:szCs w:val="32"/>
          <w14:textFill>
            <w14:solidFill>
              <w14:schemeClr w14:val="tx1"/>
            </w14:solidFill>
          </w14:textFill>
        </w:rPr>
        <w:t>30天的宽限期</w:t>
      </w: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宽限</w:t>
      </w:r>
      <w:r>
        <w:rPr>
          <w:rFonts w:hint="eastAsia" w:eastAsia="仿宋_GB2312"/>
          <w:color w:val="000000" w:themeColor="text1"/>
          <w:kern w:val="0"/>
          <w:sz w:val="30"/>
          <w:szCs w:val="32"/>
          <w14:textFill>
            <w14:solidFill>
              <w14:schemeClr w14:val="tx1"/>
            </w14:solidFill>
          </w14:textFill>
        </w:rPr>
        <w:t>期满</w:t>
      </w:r>
      <w:r>
        <w:rPr>
          <w:rFonts w:eastAsia="仿宋_GB2312"/>
          <w:color w:val="000000" w:themeColor="text1"/>
          <w:kern w:val="0"/>
          <w:sz w:val="30"/>
          <w:szCs w:val="32"/>
          <w14:textFill>
            <w14:solidFill>
              <w14:schemeClr w14:val="tx1"/>
            </w14:solidFill>
          </w14:textFill>
        </w:rPr>
        <w:t>仍未支付的</w:t>
      </w:r>
      <w:r>
        <w:rPr>
          <w:rFonts w:hint="eastAsia" w:eastAsia="仿宋_GB2312"/>
          <w:color w:val="000000" w:themeColor="text1"/>
          <w:kern w:val="0"/>
          <w:sz w:val="30"/>
          <w:szCs w:val="32"/>
          <w14:textFill>
            <w14:solidFill>
              <w14:schemeClr w14:val="tx1"/>
            </w14:solidFill>
          </w14:textFill>
        </w:rPr>
        <w:t>，</w:t>
      </w:r>
      <w:r>
        <w:rPr>
          <w:rFonts w:hint="eastAsia" w:eastAsia="仿宋_GB2312"/>
          <w:color w:val="000000" w:themeColor="text1"/>
          <w:kern w:val="0"/>
          <w:sz w:val="30"/>
          <w:szCs w:val="32"/>
          <w:u w:val="single"/>
          <w14:textFill>
            <w14:solidFill>
              <w14:schemeClr w14:val="tx1"/>
            </w14:solidFill>
          </w14:textFill>
        </w:rPr>
        <w:t>按照中国人民银行</w:t>
      </w:r>
      <w:r>
        <w:rPr>
          <w:rFonts w:eastAsia="仿宋_GB2312"/>
          <w:color w:val="000000" w:themeColor="text1"/>
          <w:kern w:val="0"/>
          <w:sz w:val="30"/>
          <w:szCs w:val="32"/>
          <w:u w:val="single"/>
          <w14:textFill>
            <w14:solidFill>
              <w14:schemeClr w14:val="tx1"/>
            </w14:solidFill>
          </w14:textFill>
        </w:rPr>
        <w:t>同期</w:t>
      </w:r>
      <w:r>
        <w:rPr>
          <w:rFonts w:hint="eastAsia" w:eastAsia="仿宋_GB2312"/>
          <w:color w:val="000000" w:themeColor="text1"/>
          <w:kern w:val="0"/>
          <w:sz w:val="30"/>
          <w:szCs w:val="32"/>
          <w:u w:val="single"/>
          <w14:textFill>
            <w14:solidFill>
              <w14:schemeClr w14:val="tx1"/>
            </w14:solidFill>
          </w14:textFill>
        </w:rPr>
        <w:t>发布的</w:t>
      </w:r>
      <w:r>
        <w:rPr>
          <w:rFonts w:hint="eastAsia" w:eastAsia="仿宋_GB2312"/>
          <w:color w:val="000000" w:themeColor="text1"/>
          <w:sz w:val="30"/>
          <w:szCs w:val="32"/>
          <w:u w:val="single"/>
          <w14:textFill>
            <w14:solidFill>
              <w14:schemeClr w14:val="tx1"/>
            </w14:solidFill>
          </w14:textFill>
        </w:rPr>
        <w:t>1年期贷款市场报价利率（LPR），以及逾期付款天数计算</w:t>
      </w:r>
      <w:r>
        <w:rPr>
          <w:rFonts w:hint="eastAsia" w:eastAsia="仿宋_GB2312"/>
          <w:color w:val="000000" w:themeColor="text1"/>
          <w:kern w:val="0"/>
          <w:sz w:val="30"/>
          <w:szCs w:val="32"/>
          <w:u w:val="single"/>
          <w14:textFill>
            <w14:solidFill>
              <w14:schemeClr w14:val="tx1"/>
            </w14:solidFill>
          </w14:textFill>
        </w:rPr>
        <w:t>支付违约金，但最高不超过签约合同暂定价的</w:t>
      </w:r>
      <w:r>
        <w:rPr>
          <w:rFonts w:eastAsia="仿宋_GB2312"/>
          <w:color w:val="000000" w:themeColor="text1"/>
          <w:kern w:val="0"/>
          <w:sz w:val="30"/>
          <w:szCs w:val="32"/>
          <w:u w:val="single"/>
          <w14:textFill>
            <w14:solidFill>
              <w14:schemeClr w14:val="tx1"/>
            </w14:solidFill>
          </w14:textFill>
        </w:rPr>
        <w:t>1</w:t>
      </w:r>
      <w:r>
        <w:rPr>
          <w:rFonts w:hint="eastAsia" w:eastAsia="仿宋_GB2312"/>
          <w:color w:val="000000" w:themeColor="text1"/>
          <w:kern w:val="0"/>
          <w:sz w:val="30"/>
          <w:szCs w:val="32"/>
          <w:u w:val="single"/>
          <w14:textFill>
            <w14:solidFill>
              <w14:schemeClr w14:val="tx1"/>
            </w14:solidFill>
          </w14:textFill>
        </w:rPr>
        <w:t>%</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3</w:t>
      </w:r>
      <w:r>
        <w:rPr>
          <w:rFonts w:hint="eastAsia" w:eastAsia="仿宋_GB2312"/>
          <w:color w:val="000000" w:themeColor="text1"/>
          <w:kern w:val="0"/>
          <w:sz w:val="30"/>
          <w:szCs w:val="32"/>
          <w14:textFill>
            <w14:solidFill>
              <w14:schemeClr w14:val="tx1"/>
            </w14:solidFill>
          </w14:textFill>
        </w:rPr>
        <w:t>）发包人违反第</w:t>
      </w:r>
      <w:r>
        <w:rPr>
          <w:rFonts w:eastAsia="仿宋_GB2312"/>
          <w:color w:val="000000" w:themeColor="text1"/>
          <w:kern w:val="0"/>
          <w:sz w:val="30"/>
          <w:szCs w:val="32"/>
          <w14:textFill>
            <w14:solidFill>
              <w14:schemeClr w14:val="tx1"/>
            </w14:solidFill>
          </w14:textFill>
        </w:rPr>
        <w:t>10.1</w:t>
      </w:r>
      <w:r>
        <w:rPr>
          <w:rFonts w:hint="eastAsia" w:eastAsia="仿宋_GB2312"/>
          <w:color w:val="000000" w:themeColor="text1"/>
          <w:kern w:val="0"/>
          <w:sz w:val="30"/>
          <w:szCs w:val="32"/>
          <w14:textFill>
            <w14:solidFill>
              <w14:schemeClr w14:val="tx1"/>
            </w14:solidFill>
          </w14:textFill>
        </w:rPr>
        <w:t>款〔变更的范围〕第（</w:t>
      </w:r>
      <w:r>
        <w:rPr>
          <w:rFonts w:eastAsia="仿宋_GB2312"/>
          <w:color w:val="000000" w:themeColor="text1"/>
          <w:kern w:val="0"/>
          <w:sz w:val="30"/>
          <w:szCs w:val="32"/>
          <w14:textFill>
            <w14:solidFill>
              <w14:schemeClr w14:val="tx1"/>
            </w14:solidFill>
          </w14:textFill>
        </w:rPr>
        <w:t>2</w:t>
      </w:r>
      <w:r>
        <w:rPr>
          <w:rFonts w:hint="eastAsia" w:eastAsia="仿宋_GB2312"/>
          <w:color w:val="000000" w:themeColor="text1"/>
          <w:kern w:val="0"/>
          <w:sz w:val="30"/>
          <w:szCs w:val="32"/>
          <w14:textFill>
            <w14:solidFill>
              <w14:schemeClr w14:val="tx1"/>
            </w14:solidFill>
          </w14:textFill>
        </w:rPr>
        <w:t>）项约定，自行实施被取消的工作或转由他人实施的违约责任：</w:t>
      </w:r>
      <w:r>
        <w:rPr>
          <w:rFonts w:hint="eastAsia" w:eastAsia="仿宋_GB2312"/>
          <w:color w:val="000000" w:themeColor="text1"/>
          <w:kern w:val="0"/>
          <w:sz w:val="30"/>
          <w:szCs w:val="32"/>
          <w:u w:val="single"/>
          <w14:textFill>
            <w14:solidFill>
              <w14:schemeClr w14:val="tx1"/>
            </w14:solidFill>
          </w14:textFill>
        </w:rPr>
        <w:t>双方另行协商。</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4</w:t>
      </w:r>
      <w:r>
        <w:rPr>
          <w:rFonts w:hint="eastAsia" w:eastAsia="仿宋_GB2312"/>
          <w:color w:val="000000" w:themeColor="text1"/>
          <w:kern w:val="0"/>
          <w:sz w:val="30"/>
          <w:szCs w:val="32"/>
          <w14:textFill>
            <w14:solidFill>
              <w14:schemeClr w14:val="tx1"/>
            </w14:solidFill>
          </w14:textFill>
        </w:rPr>
        <w:t>）发包人提供的材料、工程设备的规格、数量或质量不符合合同约定，或因发包人原因导致交货日期延误或交货地点变更等情况的违约责任：</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工期予以顺延</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5</w:t>
      </w:r>
      <w:r>
        <w:rPr>
          <w:rFonts w:hint="eastAsia" w:eastAsia="仿宋_GB2312"/>
          <w:color w:val="000000" w:themeColor="text1"/>
          <w:kern w:val="0"/>
          <w:sz w:val="30"/>
          <w:szCs w:val="32"/>
          <w14:textFill>
            <w14:solidFill>
              <w14:schemeClr w14:val="tx1"/>
            </w14:solidFill>
          </w14:textFill>
        </w:rPr>
        <w:t>）因发包人违反合同约定造成暂停施工的违约责任：</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工期予以顺延</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6</w:t>
      </w:r>
      <w:r>
        <w:rPr>
          <w:rFonts w:hint="eastAsia" w:eastAsia="仿宋_GB2312"/>
          <w:color w:val="000000" w:themeColor="text1"/>
          <w:kern w:val="0"/>
          <w:sz w:val="30"/>
          <w:szCs w:val="32"/>
          <w14:textFill>
            <w14:solidFill>
              <w14:schemeClr w14:val="tx1"/>
            </w14:solidFill>
          </w14:textFill>
        </w:rPr>
        <w:t>）发包人无正当理由没有在约定期限内发出复工指示，导致承包人无法复工的违约责任：</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工期予以顺延</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kern w:val="0"/>
          <w:sz w:val="30"/>
          <w:szCs w:val="32"/>
          <w:u w:val="single"/>
        </w:rPr>
      </w:pPr>
      <w:r>
        <w:rPr>
          <w:rFonts w:hint="eastAsia"/>
          <w:kern w:val="0"/>
          <w:sz w:val="30"/>
        </w:rPr>
        <w:t>（7）</w:t>
      </w:r>
      <w:r>
        <w:rPr>
          <w:rFonts w:hint="eastAsia" w:eastAsia="仿宋_GB2312"/>
          <w:kern w:val="0"/>
          <w:sz w:val="30"/>
          <w:szCs w:val="32"/>
        </w:rPr>
        <w:t>发包人未执行政府行政管理部门关于农民工工资支付的各项制度或未能按合同约定支付人工费的</w:t>
      </w:r>
      <w:r>
        <w:rPr>
          <w:rFonts w:eastAsia="仿宋_GB2312"/>
          <w:kern w:val="0"/>
          <w:sz w:val="30"/>
          <w:szCs w:val="32"/>
        </w:rPr>
        <w:t>违约责任：</w:t>
      </w:r>
      <w:r>
        <w:rPr>
          <w:rFonts w:eastAsia="仿宋_GB2312"/>
          <w:kern w:val="0"/>
          <w:sz w:val="30"/>
          <w:szCs w:val="32"/>
          <w:u w:val="single"/>
        </w:rPr>
        <w:t xml:space="preserve">  </w:t>
      </w:r>
      <w:r>
        <w:rPr>
          <w:rFonts w:hint="eastAsia" w:eastAsia="仿宋_GB2312"/>
          <w:kern w:val="0"/>
          <w:sz w:val="30"/>
          <w:szCs w:val="32"/>
          <w:u w:val="single"/>
        </w:rPr>
        <w:t xml:space="preserve">双方另行协商 </w:t>
      </w:r>
      <w:r>
        <w:rPr>
          <w:rFonts w:eastAsia="仿宋_GB2312"/>
          <w:kern w:val="0"/>
          <w:sz w:val="30"/>
          <w:szCs w:val="32"/>
          <w:u w:val="single"/>
        </w:rPr>
        <w:t xml:space="preserve">  </w:t>
      </w:r>
      <w:r>
        <w:rPr>
          <w:rFonts w:eastAsia="仿宋_GB2312"/>
          <w:kern w:val="0"/>
          <w:sz w:val="30"/>
          <w:szCs w:val="32"/>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w:t>
      </w:r>
      <w:r>
        <w:rPr>
          <w:rFonts w:eastAsia="仿宋_GB2312"/>
          <w:color w:val="000000" w:themeColor="text1"/>
          <w:kern w:val="0"/>
          <w:sz w:val="30"/>
          <w:szCs w:val="32"/>
          <w14:textFill>
            <w14:solidFill>
              <w14:schemeClr w14:val="tx1"/>
            </w14:solidFill>
          </w14:textFill>
        </w:rPr>
        <w:t>8</w:t>
      </w:r>
      <w:r>
        <w:rPr>
          <w:rFonts w:hint="eastAsia" w:eastAsia="仿宋_GB2312"/>
          <w:color w:val="000000" w:themeColor="text1"/>
          <w:kern w:val="0"/>
          <w:sz w:val="30"/>
          <w:szCs w:val="32"/>
          <w14:textFill>
            <w14:solidFill>
              <w14:schemeClr w14:val="tx1"/>
            </w14:solidFill>
          </w14:textFill>
        </w:rPr>
        <w:t>）其他：</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双方协商解决，协商不成执行第</w:t>
      </w:r>
      <w:r>
        <w:rPr>
          <w:rFonts w:eastAsia="仿宋_GB2312"/>
          <w:color w:val="000000" w:themeColor="text1"/>
          <w:kern w:val="0"/>
          <w:sz w:val="30"/>
          <w:szCs w:val="32"/>
          <w:u w:val="single"/>
          <w14:textFill>
            <w14:solidFill>
              <w14:schemeClr w14:val="tx1"/>
            </w14:solidFill>
          </w14:textFill>
        </w:rPr>
        <w:t>20</w:t>
      </w:r>
      <w:r>
        <w:rPr>
          <w:rFonts w:hint="eastAsia" w:eastAsia="仿宋_GB2312"/>
          <w:color w:val="000000" w:themeColor="text1"/>
          <w:kern w:val="0"/>
          <w:sz w:val="30"/>
          <w:szCs w:val="32"/>
          <w:u w:val="single"/>
          <w14:textFill>
            <w14:solidFill>
              <w14:schemeClr w14:val="tx1"/>
            </w14:solidFill>
          </w14:textFill>
        </w:rPr>
        <w:t>条（争议解决）</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16.1.3 </w:t>
      </w:r>
      <w:r>
        <w:rPr>
          <w:rFonts w:hint="eastAsia" w:eastAsia="仿宋_GB2312"/>
          <w:color w:val="000000" w:themeColor="text1"/>
          <w:sz w:val="30"/>
          <w:szCs w:val="32"/>
          <w14:textFill>
            <w14:solidFill>
              <w14:schemeClr w14:val="tx1"/>
            </w14:solidFill>
          </w14:textFill>
        </w:rPr>
        <w:t>因发包人违约解除合同</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承包人按</w:t>
      </w:r>
      <w:r>
        <w:rPr>
          <w:rFonts w:eastAsia="仿宋_GB2312"/>
          <w:color w:val="000000" w:themeColor="text1"/>
          <w:kern w:val="0"/>
          <w:sz w:val="30"/>
          <w:szCs w:val="32"/>
          <w14:textFill>
            <w14:solidFill>
              <w14:schemeClr w14:val="tx1"/>
            </w14:solidFill>
          </w14:textFill>
        </w:rPr>
        <w:t>16.1.1</w:t>
      </w:r>
      <w:r>
        <w:rPr>
          <w:rFonts w:hint="eastAsia" w:eastAsia="仿宋_GB2312"/>
          <w:color w:val="000000" w:themeColor="text1"/>
          <w:kern w:val="0"/>
          <w:sz w:val="30"/>
          <w:szCs w:val="32"/>
          <w14:textFill>
            <w14:solidFill>
              <w14:schemeClr w14:val="tx1"/>
            </w14:solidFill>
          </w14:textFill>
        </w:rPr>
        <w:t>项〔发包人违约的情形〕约定暂停施工满</w:t>
      </w:r>
      <w:r>
        <w:rPr>
          <w:rFonts w:eastAsia="仿宋_GB2312"/>
          <w:color w:val="000000" w:themeColor="text1"/>
          <w:kern w:val="0"/>
          <w:sz w:val="30"/>
          <w:szCs w:val="32"/>
          <w:u w:val="single"/>
          <w14:textFill>
            <w14:solidFill>
              <w14:schemeClr w14:val="tx1"/>
            </w14:solidFill>
          </w14:textFill>
        </w:rPr>
        <w:t xml:space="preserve"> 56 </w:t>
      </w:r>
      <w:r>
        <w:rPr>
          <w:rFonts w:hint="eastAsia" w:eastAsia="仿宋_GB2312"/>
          <w:color w:val="000000" w:themeColor="text1"/>
          <w:kern w:val="0"/>
          <w:sz w:val="30"/>
          <w:szCs w:val="32"/>
          <w14:textFill>
            <w14:solidFill>
              <w14:schemeClr w14:val="tx1"/>
            </w14:solidFill>
          </w14:textFill>
        </w:rPr>
        <w:t>天后发包人仍不纠正其违约行为并致使合同目的不能实现的，承包人有权解除合同。</w:t>
      </w:r>
    </w:p>
    <w:p>
      <w:pPr>
        <w:pStyle w:val="9"/>
      </w:pPr>
      <w:r>
        <w:t xml:space="preserve">16.2 </w:t>
      </w:r>
      <w:r>
        <w:rPr>
          <w:rFonts w:hint="eastAsia"/>
        </w:rPr>
        <w:t>承包人违约</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16.2.1 </w:t>
      </w:r>
      <w:r>
        <w:rPr>
          <w:rFonts w:hint="eastAsia" w:eastAsia="仿宋_GB2312"/>
          <w:color w:val="000000" w:themeColor="text1"/>
          <w:kern w:val="0"/>
          <w:sz w:val="30"/>
          <w:szCs w:val="32"/>
          <w14:textFill>
            <w14:solidFill>
              <w14:schemeClr w14:val="tx1"/>
            </w14:solidFill>
          </w14:textFill>
        </w:rPr>
        <w:t>承包人违约的情形</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承包人违约的其他情形：</w:t>
      </w:r>
    </w:p>
    <w:p>
      <w:pPr>
        <w:numPr>
          <w:ilvl w:val="0"/>
          <w:numId w:val="11"/>
        </w:num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未达到合同约定的安全文明施工标准；</w:t>
      </w:r>
    </w:p>
    <w:p>
      <w:pPr>
        <w:numPr>
          <w:ilvl w:val="0"/>
          <w:numId w:val="11"/>
        </w:num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未按合同约定及时进行竣工验收、工程资料移交及工程移交，竣工结算，竣工验收备案；</w:t>
      </w:r>
    </w:p>
    <w:p>
      <w:pPr>
        <w:numPr>
          <w:ilvl w:val="0"/>
          <w:numId w:val="11"/>
        </w:num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现场项目管理班子人员未按中标文件配备及擅自更换；</w:t>
      </w:r>
    </w:p>
    <w:p>
      <w:pPr>
        <w:numPr>
          <w:ilvl w:val="0"/>
          <w:numId w:val="11"/>
        </w:num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未履行总包管理责任；</w:t>
      </w:r>
    </w:p>
    <w:p>
      <w:pPr>
        <w:numPr>
          <w:ilvl w:val="0"/>
          <w:numId w:val="11"/>
        </w:num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由于</w:t>
      </w:r>
      <w:r>
        <w:rPr>
          <w:rFonts w:hint="eastAsia" w:eastAsia="仿宋_GB2312"/>
          <w:color w:val="000000" w:themeColor="text1"/>
          <w:sz w:val="30"/>
          <w:szCs w:val="32"/>
          <w:u w:val="single"/>
          <w14:textFill>
            <w14:solidFill>
              <w14:schemeClr w14:val="tx1"/>
            </w14:solidFill>
          </w14:textFill>
        </w:rPr>
        <w:t>承包人拖欠农民工工资、分包及供货商工程款，造成聚众围堵、上访等对发包人造成声誉、形象等不力影响</w:t>
      </w:r>
      <w:r>
        <w:rPr>
          <w:rFonts w:hint="eastAsia" w:eastAsia="仿宋_GB2312"/>
          <w:color w:val="000000" w:themeColor="text1"/>
          <w:kern w:val="0"/>
          <w:sz w:val="30"/>
          <w:szCs w:val="32"/>
          <w14:textFill>
            <w14:solidFill>
              <w14:schemeClr w14:val="tx1"/>
            </w14:solidFill>
          </w14:textFill>
        </w:rPr>
        <w:t>。</w:t>
      </w:r>
    </w:p>
    <w:p>
      <w:pPr>
        <w:spacing w:line="360" w:lineRule="auto"/>
        <w:ind w:firstLine="600"/>
        <w:rPr>
          <w:color w:val="000000" w:themeColor="text1"/>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6</w:t>
      </w:r>
      <w:r>
        <w:rPr>
          <w:rFonts w:hint="eastAsia" w:eastAsia="仿宋_GB2312"/>
          <w:color w:val="000000" w:themeColor="text1"/>
          <w:sz w:val="30"/>
          <w:szCs w:val="32"/>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如发包人发现实际施工人存在借用或冒用承包人的资质、印章等弄虚作假行为；或者实际施工人为承包人及其项目经理以外的第三人的情况，发包人有权以此为理由拒绝向承包人或实际施工人支付工程款，而不构成违约，也无需向承包人或实际施工人承担包含利息在内的任何违约及赔偿责任。</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16.2.2</w:t>
      </w:r>
      <w:r>
        <w:rPr>
          <w:rFonts w:hint="eastAsia" w:eastAsia="仿宋_GB2312"/>
          <w:color w:val="000000" w:themeColor="text1"/>
          <w:sz w:val="30"/>
          <w:szCs w:val="32"/>
          <w14:textFill>
            <w14:solidFill>
              <w14:schemeClr w14:val="tx1"/>
            </w14:solidFill>
          </w14:textFill>
        </w:rPr>
        <w:t>承包人违约的责任</w:t>
      </w:r>
    </w:p>
    <w:p>
      <w:pPr>
        <w:spacing w:line="360" w:lineRule="auto"/>
        <w:ind w:firstLine="600" w:firstLineChars="200"/>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承包人违约责任的承担方式和计算方法：</w:t>
      </w:r>
      <w:r>
        <w:rPr>
          <w:rFonts w:hint="eastAsia" w:eastAsia="仿宋_GB2312"/>
          <w:color w:val="000000" w:themeColor="text1"/>
          <w:sz w:val="30"/>
          <w:szCs w:val="32"/>
          <w:u w:val="single"/>
          <w14:textFill>
            <w14:solidFill>
              <w14:schemeClr w14:val="tx1"/>
            </w14:solidFill>
          </w14:textFill>
        </w:rPr>
        <w:t>前述专用条款有约定的按专用条款约定执行，其他由承包人承担全部费用及相应法律责任并承担给发包人造成的损失，包括但不限于发包人直接经济损失、向第三人承担的违约责任以及发生的诉讼费、仲裁费、律师费等。相应的违约金从当期进度款中扣除或依据银行履约保函，由担保方见索即付。承包人拖欠农民工工资、劳务分包及供货商工程款的，发包人有权从应付工程款中扣缴。</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w:t>
      </w:r>
      <w:r>
        <w:rPr>
          <w:rFonts w:hint="eastAsia" w:ascii="仿宋" w:hAnsi="仿宋" w:eastAsia="仿宋" w:cs="仿宋"/>
          <w:color w:val="000000" w:themeColor="text1"/>
          <w:sz w:val="30"/>
          <w:szCs w:val="30"/>
          <w14:textFill>
            <w14:solidFill>
              <w14:schemeClr w14:val="tx1"/>
            </w14:solidFill>
          </w14:textFill>
        </w:rPr>
        <w:t>承包人有下列行为之一的，要求限期改正，发现一次视情况处以</w:t>
      </w:r>
      <w:r>
        <w:rPr>
          <w:rFonts w:ascii="仿宋" w:hAnsi="仿宋" w:eastAsia="仿宋" w:cs="仿宋"/>
          <w:color w:val="000000" w:themeColor="text1"/>
          <w:sz w:val="30"/>
          <w:szCs w:val="30"/>
          <w:u w:val="single"/>
          <w14:textFill>
            <w14:solidFill>
              <w14:schemeClr w14:val="tx1"/>
            </w14:solidFill>
          </w14:textFill>
        </w:rPr>
        <w:t>5000-20000</w:t>
      </w:r>
      <w:r>
        <w:rPr>
          <w:rFonts w:hint="eastAsia" w:ascii="仿宋" w:hAnsi="仿宋" w:eastAsia="仿宋" w:cs="仿宋"/>
          <w:color w:val="000000" w:themeColor="text1"/>
          <w:sz w:val="30"/>
          <w:szCs w:val="30"/>
          <w14:textFill>
            <w14:solidFill>
              <w14:schemeClr w14:val="tx1"/>
            </w14:solidFill>
          </w14:textFill>
        </w:rPr>
        <w:t>元的罚款，</w:t>
      </w:r>
      <w:r>
        <w:rPr>
          <w:rFonts w:hint="eastAsia" w:ascii="Times New Roman" w:hAnsi="Times New Roman" w:eastAsia="仿宋_GB2312"/>
          <w:color w:val="000000" w:themeColor="text1"/>
          <w:sz w:val="30"/>
          <w:szCs w:val="32"/>
          <w14:textFill>
            <w14:solidFill>
              <w14:schemeClr w14:val="tx1"/>
            </w14:solidFill>
          </w14:textFill>
        </w:rPr>
        <w:t>造成建设工程质量不符合规定的质量标准的，负责返工、修理，情况严重的，要求停工整改造成损失的，依法承担赔偿责任，对于未经验收的隐蔽工程，不予计量工程量，罚款和赔偿金从当期工程款或依据履约保函进行索赔。</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1.在施工中偷工减料的；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2.使用不合格的建筑材料、建筑构配件和设备的；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3.不按照工程设计图纸或者施工技术标准施工的，在施工中不执行配比、不计量的；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4.未对建筑材料、建筑构配件、设备进行检验的；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5.未对涉及结构安全的试块、试件以及有关材料取样检测的；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6.不按照验收程序进行过程验收，擅自进行下道工序施工的；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7.不执行</w:t>
      </w:r>
      <w:r>
        <w:rPr>
          <w:rFonts w:hint="eastAsia" w:ascii="Times New Roman" w:hAnsi="Times New Roman" w:eastAsia="仿宋_GB2312"/>
          <w:color w:val="000000" w:themeColor="text1"/>
          <w:sz w:val="30"/>
          <w:szCs w:val="32"/>
          <w14:textFill>
            <w14:solidFill>
              <w14:schemeClr w14:val="tx1"/>
            </w14:solidFill>
          </w14:textFill>
        </w:rPr>
        <w:t>样品、</w:t>
      </w:r>
      <w:r>
        <w:rPr>
          <w:rFonts w:ascii="Times New Roman" w:hAnsi="Times New Roman" w:eastAsia="仿宋_GB2312"/>
          <w:color w:val="000000" w:themeColor="text1"/>
          <w:sz w:val="30"/>
          <w:szCs w:val="32"/>
          <w14:textFill>
            <w14:solidFill>
              <w14:schemeClr w14:val="tx1"/>
            </w14:solidFill>
          </w14:textFill>
        </w:rPr>
        <w:t>样板开路的；</w:t>
      </w:r>
      <w:r>
        <w:rPr>
          <w:rFonts w:hint="eastAsia" w:ascii="Times New Roman" w:hAnsi="Times New Roman" w:eastAsia="仿宋_GB2312"/>
          <w:color w:val="000000" w:themeColor="text1"/>
          <w:sz w:val="30"/>
          <w:szCs w:val="32"/>
          <w14:textFill>
            <w14:solidFill>
              <w14:schemeClr w14:val="tx1"/>
            </w14:solidFill>
          </w14:textFill>
        </w:rPr>
        <w:t>擅自更换材料品牌；</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8.对于监理工程师或其他质量监督部门提出的问题未按时整改的；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9.对于施工中出现的质量隐患隐瞒不报的；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10.现场管理人员不到位或未按照国家有关规定取得上岗资格，造成现场质量保证体系不健全；</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11.现场管理人员不服从建设单位或监理单位的管理的；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12.发包人认为其他影响工程质量行为的。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2）承包人有下列行为之一的，要求限期改正；逾期未改正的发现一次，视情况处以2000-10000</w:t>
      </w:r>
      <w:r>
        <w:rPr>
          <w:rFonts w:hint="eastAsia" w:ascii="Times New Roman" w:hAnsi="Times New Roman" w:eastAsia="仿宋_GB2312"/>
          <w:color w:val="000000" w:themeColor="text1"/>
          <w:sz w:val="30"/>
          <w:szCs w:val="32"/>
          <w14:textFill>
            <w14:solidFill>
              <w14:schemeClr w14:val="tx1"/>
            </w14:solidFill>
          </w14:textFill>
        </w:rPr>
        <w:t>元的罚款，该罚款直接从当期进度款中扣除或者依据履约保函进行索赔；情况严重的，进行停工整顿，工期不相应延长，造成损失的，承包人依法承担赔偿责任：</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1.施工前未对有关安全施工的技术要求作出详细交底的；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2.未根据不同施工阶段和周围环境及季节、气候的变化，在施工现场采取相应安全施工措施或者施工现场未实行封闭围档的；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3.在尚未竣工的建筑物内设置员工集体宿舍的；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4.施工现场临时搭建的建筑物不符合安全使用要求的；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5.未对因建设工程施工可能造成损害的毗邻建筑物、构筑物和地下管线等采取专项防护措施的；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6.安全防护用具、机械设备、施工机具及配件在进入施工现场前未经查验或者查验不合格即投入使用的；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7.使用未经验收或者验收不合格的施工起重机械和其他垂直运输设备的；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8.委托不具有相应资质的单位承担施工现场安装、拆卸施工起重机械和其他垂直运输设备的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9.未编制安全管理施工组织设计、施工现场临时用电方案或者其他专项施工方案的。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10.未进行全封闭式施工或者封闭不符合有关规定的；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11.生活或建筑垃圾不按规定进行清理和外运的，道路未采取经常性保洁措施的；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12.物料及施工机具未按现场平面图进行布置或堆放不整齐的；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13.未按规定设置下水道、沉淀池，排水系统不通畅的；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14.施工机械不及时清洗，运输车辆带泥浆进出现场的；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15.在施工现场大小便的；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16.外脚手架、基坑临边防护、楼层临边防护等安全防护用具不符合本规定的；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ascii="Times New Roman" w:hAnsi="Times New Roman" w:eastAsia="仿宋_GB2312"/>
          <w:color w:val="000000" w:themeColor="text1"/>
          <w:sz w:val="30"/>
          <w:szCs w:val="32"/>
          <w14:textFill>
            <w14:solidFill>
              <w14:schemeClr w14:val="tx1"/>
            </w14:solidFill>
          </w14:textFill>
        </w:rPr>
        <w:t>17.未采取防尘措施，造成较严重的扬尘污染的。</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3）承包人管理人员未履行安全生产管理职责的，要求限期改正，逾期未改正或不服从发包人或监理单位的合理要求的，出现一次，视情况对承包人处以</w:t>
      </w:r>
      <w:r>
        <w:rPr>
          <w:rFonts w:ascii="仿宋" w:hAnsi="仿宋" w:eastAsia="仿宋" w:cs="仿宋"/>
          <w:color w:val="000000" w:themeColor="text1"/>
          <w:sz w:val="30"/>
          <w:szCs w:val="30"/>
          <w:u w:val="single"/>
          <w14:textFill>
            <w14:solidFill>
              <w14:schemeClr w14:val="tx1"/>
            </w14:solidFill>
          </w14:textFill>
        </w:rPr>
        <w:t>5000-20000</w:t>
      </w:r>
      <w:r>
        <w:rPr>
          <w:rFonts w:hint="eastAsia" w:ascii="Times New Roman" w:hAnsi="Times New Roman" w:eastAsia="仿宋_GB2312"/>
          <w:color w:val="000000" w:themeColor="text1"/>
          <w:sz w:val="30"/>
          <w:szCs w:val="32"/>
          <w14:textFill>
            <w14:solidFill>
              <w14:schemeClr w14:val="tx1"/>
            </w14:solidFill>
          </w14:textFill>
        </w:rPr>
        <w:t>元的罚款，必要时要求承包人停工整顿，工期不相应延长；对于确实不能履行安全管理职责的，发包人有权要求承包人更换项目负责人。</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4）现场发生伤亡</w:t>
      </w:r>
      <w:r>
        <w:rPr>
          <w:rFonts w:hint="eastAsia" w:ascii="Times New Roman" w:hAnsi="Times New Roman" w:eastAsia="仿宋_GB2312"/>
          <w:color w:val="000000" w:themeColor="text1"/>
          <w:sz w:val="30"/>
          <w:szCs w:val="32"/>
          <w14:textFill>
            <w14:solidFill>
              <w14:schemeClr w14:val="tx1"/>
            </w14:solidFill>
          </w14:textFill>
        </w:rPr>
        <w:t>事故、环保、消防安全等</w:t>
      </w:r>
      <w:r>
        <w:rPr>
          <w:rFonts w:ascii="Times New Roman" w:hAnsi="Times New Roman" w:eastAsia="仿宋_GB2312"/>
          <w:color w:val="000000" w:themeColor="text1"/>
          <w:sz w:val="30"/>
          <w:szCs w:val="32"/>
          <w14:textFill>
            <w14:solidFill>
              <w14:schemeClr w14:val="tx1"/>
            </w14:solidFill>
          </w14:textFill>
        </w:rPr>
        <w:t>事故</w:t>
      </w:r>
      <w:r>
        <w:rPr>
          <w:rFonts w:hint="eastAsia" w:ascii="Times New Roman" w:hAnsi="Times New Roman" w:eastAsia="仿宋_GB2312"/>
          <w:color w:val="000000" w:themeColor="text1"/>
          <w:sz w:val="30"/>
          <w:szCs w:val="32"/>
          <w14:textFill>
            <w14:solidFill>
              <w14:schemeClr w14:val="tx1"/>
            </w14:solidFill>
          </w14:textFill>
        </w:rPr>
        <w:t>以及发生寻衅滋事、打架纠纷、偷窃等不良行为</w:t>
      </w:r>
      <w:r>
        <w:rPr>
          <w:rFonts w:ascii="Times New Roman" w:hAnsi="Times New Roman" w:eastAsia="仿宋_GB2312"/>
          <w:color w:val="000000" w:themeColor="text1"/>
          <w:sz w:val="30"/>
          <w:szCs w:val="32"/>
          <w14:textFill>
            <w14:solidFill>
              <w14:schemeClr w14:val="tx1"/>
            </w14:solidFill>
          </w14:textFill>
        </w:rPr>
        <w:t>，因处理不当造成恶劣影响的，发包人视具体情况对承包人处以</w:t>
      </w:r>
      <w:r>
        <w:rPr>
          <w:rFonts w:ascii="仿宋" w:hAnsi="仿宋" w:eastAsia="仿宋" w:cs="仿宋"/>
          <w:color w:val="000000" w:themeColor="text1"/>
          <w:sz w:val="30"/>
          <w:szCs w:val="30"/>
          <w:u w:val="single"/>
          <w14:textFill>
            <w14:solidFill>
              <w14:schemeClr w14:val="tx1"/>
            </w14:solidFill>
          </w14:textFill>
        </w:rPr>
        <w:t>5000-10000</w:t>
      </w:r>
      <w:r>
        <w:rPr>
          <w:rFonts w:hint="eastAsia" w:ascii="仿宋" w:hAnsi="仿宋" w:eastAsia="仿宋" w:cs="仿宋"/>
          <w:color w:val="000000" w:themeColor="text1"/>
          <w:sz w:val="30"/>
          <w:szCs w:val="30"/>
          <w:u w:val="single"/>
          <w14:textFill>
            <w14:solidFill>
              <w14:schemeClr w14:val="tx1"/>
            </w14:solidFill>
          </w14:textFill>
        </w:rPr>
        <w:t>0</w:t>
      </w:r>
      <w:r>
        <w:rPr>
          <w:rFonts w:hint="eastAsia" w:ascii="Times New Roman" w:hAnsi="Times New Roman" w:eastAsia="仿宋_GB2312"/>
          <w:color w:val="000000" w:themeColor="text1"/>
          <w:sz w:val="30"/>
          <w:szCs w:val="32"/>
          <w14:textFill>
            <w14:solidFill>
              <w14:schemeClr w14:val="tx1"/>
            </w14:solidFill>
          </w14:textFill>
        </w:rPr>
        <w:t>元的罚款。</w:t>
      </w:r>
    </w:p>
    <w:p>
      <w:pPr>
        <w:pStyle w:val="33"/>
        <w:spacing w:before="156" w:beforeAutospacing="0" w:after="156" w:afterAutospacing="0" w:line="360" w:lineRule="auto"/>
        <w:ind w:firstLine="300" w:firstLineChars="100"/>
        <w:rPr>
          <w:rFonts w:ascii="仿宋" w:hAnsi="仿宋" w:eastAsia="仿宋" w:cs="仿宋"/>
          <w:color w:val="000000" w:themeColor="text1"/>
          <w:sz w:val="30"/>
          <w:szCs w:val="30"/>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5）承包人必须按时参加监理单位、发包人组织的相关会议，有特殊原因不能参加会议者，应提前向会议主持人请假并得到同意，否则按旷会进行处罚。开会迟到30分钟以内者，罚款</w:t>
      </w:r>
      <w:r>
        <w:rPr>
          <w:rFonts w:ascii="仿宋" w:hAnsi="仿宋" w:eastAsia="仿宋" w:cs="仿宋"/>
          <w:color w:val="000000" w:themeColor="text1"/>
          <w:sz w:val="30"/>
          <w:szCs w:val="30"/>
          <w:u w:val="single"/>
          <w14:textFill>
            <w14:solidFill>
              <w14:schemeClr w14:val="tx1"/>
            </w14:solidFill>
          </w14:textFill>
        </w:rPr>
        <w:t>200元/人次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迟到</w:t>
      </w:r>
      <w:r>
        <w:rPr>
          <w:rFonts w:ascii="Times New Roman" w:hAnsi="Times New Roman" w:eastAsia="仿宋_GB2312"/>
          <w:color w:val="000000" w:themeColor="text1"/>
          <w:sz w:val="30"/>
          <w:szCs w:val="32"/>
          <w14:textFill>
            <w14:solidFill>
              <w14:schemeClr w14:val="tx1"/>
            </w14:solidFill>
          </w14:textFill>
        </w:rPr>
        <w:t>30分钟以上的，罚款</w:t>
      </w:r>
      <w:r>
        <w:rPr>
          <w:rFonts w:ascii="仿宋" w:hAnsi="仿宋" w:eastAsia="仿宋" w:cs="仿宋"/>
          <w:color w:val="000000" w:themeColor="text1"/>
          <w:sz w:val="30"/>
          <w:szCs w:val="30"/>
          <w:u w:val="single"/>
          <w14:textFill>
            <w14:solidFill>
              <w14:schemeClr w14:val="tx1"/>
            </w14:solidFill>
          </w14:textFill>
        </w:rPr>
        <w:t>500元/人次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旷会者罚款</w:t>
      </w:r>
      <w:r>
        <w:rPr>
          <w:rFonts w:ascii="仿宋" w:hAnsi="仿宋" w:eastAsia="仿宋" w:cs="仿宋"/>
          <w:color w:val="000000" w:themeColor="text1"/>
          <w:sz w:val="30"/>
          <w:szCs w:val="30"/>
          <w:u w:val="single"/>
          <w14:textFill>
            <w14:solidFill>
              <w14:schemeClr w14:val="tx1"/>
            </w14:solidFill>
          </w14:textFill>
        </w:rPr>
        <w:t>1000元/人次</w:t>
      </w:r>
      <w:r>
        <w:rPr>
          <w:rFonts w:hint="eastAsia" w:ascii="仿宋" w:hAnsi="仿宋" w:eastAsia="仿宋" w:cs="仿宋"/>
          <w:color w:val="000000" w:themeColor="text1"/>
          <w:sz w:val="30"/>
          <w:szCs w:val="30"/>
          <w14:textFill>
            <w14:solidFill>
              <w14:schemeClr w14:val="tx1"/>
            </w14:solidFill>
          </w14:textFill>
        </w:rPr>
        <w:t>。</w:t>
      </w:r>
    </w:p>
    <w:p>
      <w:pPr>
        <w:pStyle w:val="33"/>
        <w:spacing w:before="156" w:beforeAutospacing="0" w:after="156" w:afterAutospacing="0" w:line="360" w:lineRule="auto"/>
        <w:ind w:firstLine="300" w:firstLineChars="100"/>
        <w:rPr>
          <w:rFonts w:ascii="仿宋" w:hAnsi="仿宋" w:eastAsia="仿宋" w:cs="仿宋"/>
          <w:color w:val="000000" w:themeColor="text1"/>
          <w:sz w:val="30"/>
          <w:szCs w:val="30"/>
          <w:u w:val="single"/>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6）承包人应按监理单位、发包人要求的时间和质量要求提交工作成果。因自身原因提交工作成果时限超出要求者、提交工作成果质量不符合要求者罚款</w:t>
      </w:r>
      <w:r>
        <w:rPr>
          <w:rFonts w:ascii="仿宋" w:hAnsi="仿宋" w:eastAsia="仿宋" w:cs="仿宋"/>
          <w:color w:val="000000" w:themeColor="text1"/>
          <w:sz w:val="30"/>
          <w:szCs w:val="30"/>
          <w:u w:val="single"/>
          <w14:textFill>
            <w14:solidFill>
              <w14:schemeClr w14:val="tx1"/>
            </w14:solidFill>
          </w14:textFill>
        </w:rPr>
        <w:t>500元/次</w:t>
      </w:r>
      <w:r>
        <w:rPr>
          <w:rFonts w:hint="eastAsia" w:ascii="仿宋" w:hAnsi="仿宋" w:eastAsia="仿宋" w:cs="仿宋"/>
          <w:color w:val="000000" w:themeColor="text1"/>
          <w:sz w:val="30"/>
          <w:szCs w:val="30"/>
          <w14:textFill>
            <w14:solidFill>
              <w14:schemeClr w14:val="tx1"/>
            </w14:solidFill>
          </w14:textFill>
        </w:rPr>
        <w:t>；</w:t>
      </w:r>
      <w:r>
        <w:rPr>
          <w:rFonts w:hint="eastAsia" w:ascii="Times New Roman" w:hAnsi="Times New Roman" w:eastAsia="仿宋_GB2312"/>
          <w:color w:val="000000" w:themeColor="text1"/>
          <w:sz w:val="30"/>
          <w:szCs w:val="32"/>
          <w14:textFill>
            <w14:solidFill>
              <w14:schemeClr w14:val="tx1"/>
            </w14:solidFill>
          </w14:textFill>
        </w:rPr>
        <w:t>再次提交仍不符合要求者，罚款</w:t>
      </w:r>
      <w:r>
        <w:rPr>
          <w:rFonts w:ascii="仿宋" w:hAnsi="仿宋" w:eastAsia="仿宋" w:cs="仿宋"/>
          <w:color w:val="000000" w:themeColor="text1"/>
          <w:sz w:val="30"/>
          <w:szCs w:val="30"/>
          <w:u w:val="single"/>
          <w14:textFill>
            <w14:solidFill>
              <w14:schemeClr w14:val="tx1"/>
            </w14:solidFill>
          </w14:textFill>
        </w:rPr>
        <w:t>1000元/次。</w:t>
      </w:r>
    </w:p>
    <w:p>
      <w:pPr>
        <w:pStyle w:val="33"/>
        <w:spacing w:before="156" w:beforeAutospacing="0" w:after="156" w:afterAutospacing="0" w:line="24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7）工程交付使用后，承包人项目经理负责承包人质量维修体系的建立，并主持处理质量维修工作;承包人所负责的施工范围均应成立维修施工小组，项目经理总负责，各维修小组应至少配备管理人1人，土建施工人员1人、安装施工人员2人</w:t>
      </w:r>
      <w:r>
        <w:rPr>
          <w:rFonts w:hint="eastAsia" w:ascii="Times New Roman" w:hAnsi="Times New Roman" w:eastAsia="仿宋_GB2312"/>
          <w:color w:val="000000" w:themeColor="text1"/>
          <w:sz w:val="30"/>
          <w:szCs w:val="32"/>
          <w14:textFill>
            <w14:solidFill>
              <w14:schemeClr w14:val="tx1"/>
            </w14:solidFill>
          </w14:textFill>
        </w:rPr>
        <w:t>。如出现质量维修不及时影响使用单位生产，或经发包人检查未按期完成维修的，根据产生原因对承包人给予每次</w:t>
      </w:r>
      <w:r>
        <w:rPr>
          <w:rFonts w:ascii="仿宋" w:hAnsi="仿宋" w:eastAsia="仿宋" w:cs="仿宋"/>
          <w:color w:val="000000" w:themeColor="text1"/>
          <w:sz w:val="30"/>
          <w:szCs w:val="30"/>
          <w:u w:val="single"/>
          <w14:textFill>
            <w14:solidFill>
              <w14:schemeClr w14:val="tx1"/>
            </w14:solidFill>
          </w14:textFill>
        </w:rPr>
        <w:t>2000</w:t>
      </w:r>
      <w:r>
        <w:rPr>
          <w:rFonts w:hint="eastAsia" w:ascii="仿宋" w:hAnsi="仿宋" w:eastAsia="仿宋" w:cs="仿宋"/>
          <w:color w:val="000000" w:themeColor="text1"/>
          <w:sz w:val="30"/>
          <w:szCs w:val="30"/>
          <w:u w:val="single"/>
          <w14:textFill>
            <w14:solidFill>
              <w14:schemeClr w14:val="tx1"/>
            </w14:solidFill>
          </w14:textFill>
        </w:rPr>
        <w:t>-</w:t>
      </w:r>
      <w:r>
        <w:rPr>
          <w:rFonts w:ascii="仿宋" w:hAnsi="仿宋" w:eastAsia="仿宋" w:cs="仿宋"/>
          <w:color w:val="000000" w:themeColor="text1"/>
          <w:sz w:val="30"/>
          <w:szCs w:val="30"/>
          <w:u w:val="single"/>
          <w14:textFill>
            <w14:solidFill>
              <w14:schemeClr w14:val="tx1"/>
            </w14:solidFill>
          </w14:textFill>
        </w:rPr>
        <w:t>5000</w:t>
      </w:r>
      <w:r>
        <w:rPr>
          <w:rFonts w:hint="eastAsia" w:ascii="仿宋" w:hAnsi="仿宋" w:eastAsia="仿宋" w:cs="仿宋"/>
          <w:color w:val="000000" w:themeColor="text1"/>
          <w:sz w:val="30"/>
          <w:szCs w:val="30"/>
          <w14:textFill>
            <w14:solidFill>
              <w14:schemeClr w14:val="tx1"/>
            </w14:solidFill>
          </w14:textFill>
        </w:rPr>
        <w:t>元</w:t>
      </w:r>
      <w:r>
        <w:rPr>
          <w:rFonts w:hint="eastAsia" w:ascii="Times New Roman" w:hAnsi="Times New Roman" w:eastAsia="仿宋_GB2312"/>
          <w:color w:val="000000" w:themeColor="text1"/>
          <w:sz w:val="30"/>
          <w:szCs w:val="32"/>
          <w14:textFill>
            <w14:solidFill>
              <w14:schemeClr w14:val="tx1"/>
            </w14:solidFill>
          </w14:textFill>
        </w:rPr>
        <w:t>的罚款。各专业分包单位的质量维修管理均由承包人负责，并承担连带责任。</w:t>
      </w:r>
    </w:p>
    <w:p>
      <w:pPr>
        <w:pStyle w:val="33"/>
        <w:spacing w:before="156" w:beforeAutospacing="0" w:after="156" w:afterAutospacing="0" w:line="24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8）</w:t>
      </w:r>
      <w:r>
        <w:rPr>
          <w:rFonts w:hint="eastAsia" w:ascii="Times New Roman" w:hAnsi="Times New Roman" w:eastAsia="仿宋_GB2312"/>
          <w:color w:val="000000" w:themeColor="text1"/>
          <w:sz w:val="30"/>
          <w:szCs w:val="32"/>
          <w14:textFill>
            <w14:solidFill>
              <w14:schemeClr w14:val="tx1"/>
            </w14:solidFill>
          </w14:textFill>
        </w:rPr>
        <w:t>承包人相关变更、签证、批价等经济资料，审核、审批依据不齐全或未按发包人要求执行，成果文件偏离实际情况或市场价格较大，未进行正常完善、修正的，发包人每发现一次视影响程度处罚承包人</w:t>
      </w:r>
      <w:r>
        <w:rPr>
          <w:rFonts w:ascii="Times New Roman" w:hAnsi="Times New Roman" w:eastAsia="仿宋_GB2312"/>
          <w:color w:val="000000" w:themeColor="text1"/>
          <w:sz w:val="30"/>
          <w:szCs w:val="32"/>
          <w14:textFill>
            <w14:solidFill>
              <w14:schemeClr w14:val="tx1"/>
            </w14:solidFill>
          </w14:textFill>
        </w:rPr>
        <w:t xml:space="preserve"> </w:t>
      </w:r>
      <w:r>
        <w:rPr>
          <w:rFonts w:ascii="仿宋" w:hAnsi="仿宋" w:eastAsia="仿宋" w:cs="仿宋"/>
          <w:color w:val="000000" w:themeColor="text1"/>
          <w:sz w:val="30"/>
          <w:szCs w:val="30"/>
          <w:u w:val="single"/>
          <w14:textFill>
            <w14:solidFill>
              <w14:schemeClr w14:val="tx1"/>
            </w14:solidFill>
          </w14:textFill>
        </w:rPr>
        <w:t>2000-5000</w:t>
      </w:r>
      <w:r>
        <w:rPr>
          <w:rFonts w:ascii="Times New Roman" w:hAnsi="Times New Roman" w:eastAsia="仿宋_GB2312"/>
          <w:color w:val="000000" w:themeColor="text1"/>
          <w:sz w:val="30"/>
          <w:szCs w:val="32"/>
          <w14:textFill>
            <w14:solidFill>
              <w14:schemeClr w14:val="tx1"/>
            </w14:solidFill>
          </w14:textFill>
        </w:rPr>
        <w:t xml:space="preserve"> 元。</w:t>
      </w:r>
    </w:p>
    <w:p>
      <w:pPr>
        <w:pStyle w:val="33"/>
        <w:spacing w:before="156" w:beforeAutospacing="0" w:after="156" w:afterAutospacing="0" w:line="360" w:lineRule="auto"/>
        <w:ind w:firstLine="300" w:firstLineChars="100"/>
        <w:rPr>
          <w:rFonts w:ascii="Times New Roman" w:hAnsi="Times New Roman"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themeColor="text1"/>
          <w:sz w:val="30"/>
          <w:szCs w:val="32"/>
          <w14:textFill>
            <w14:solidFill>
              <w14:schemeClr w14:val="tx1"/>
            </w14:solidFill>
          </w14:textFill>
        </w:rPr>
        <w:t>（</w:t>
      </w:r>
      <w:r>
        <w:rPr>
          <w:rFonts w:ascii="Times New Roman" w:hAnsi="Times New Roman" w:eastAsia="仿宋_GB2312"/>
          <w:color w:val="000000" w:themeColor="text1"/>
          <w:sz w:val="30"/>
          <w:szCs w:val="32"/>
          <w14:textFill>
            <w14:solidFill>
              <w14:schemeClr w14:val="tx1"/>
            </w14:solidFill>
          </w14:textFill>
        </w:rPr>
        <w:t>9</w:t>
      </w:r>
      <w:r>
        <w:rPr>
          <w:rFonts w:hint="eastAsia" w:ascii="Times New Roman" w:hAnsi="Times New Roman" w:eastAsia="仿宋_GB2312"/>
          <w:color w:val="000000" w:themeColor="text1"/>
          <w:sz w:val="30"/>
          <w:szCs w:val="32"/>
          <w14:textFill>
            <w14:solidFill>
              <w14:schemeClr w14:val="tx1"/>
            </w14:solidFill>
          </w14:textFill>
        </w:rPr>
        <w:t>）承包人未按照发包人要求的《工程项目结算审计报审资料编制规范》报审竣工结算资料的，发包人每发现一次视影响程度处罚承包人</w:t>
      </w:r>
      <w:r>
        <w:rPr>
          <w:rFonts w:ascii="仿宋" w:hAnsi="仿宋" w:eastAsia="仿宋" w:cs="仿宋"/>
          <w:color w:val="000000" w:themeColor="text1"/>
          <w:sz w:val="30"/>
          <w:szCs w:val="30"/>
          <w:u w:val="single"/>
          <w14:textFill>
            <w14:solidFill>
              <w14:schemeClr w14:val="tx1"/>
            </w14:solidFill>
          </w14:textFill>
        </w:rPr>
        <w:t>500-3000</w:t>
      </w:r>
      <w:r>
        <w:rPr>
          <w:rFonts w:hint="eastAsia" w:ascii="Times New Roman" w:hAnsi="Times New Roman" w:eastAsia="仿宋_GB2312"/>
          <w:color w:val="000000" w:themeColor="text1"/>
          <w:sz w:val="30"/>
          <w:szCs w:val="32"/>
          <w14:textFill>
            <w14:solidFill>
              <w14:schemeClr w14:val="tx1"/>
            </w14:solidFill>
          </w14:textFill>
        </w:rPr>
        <w:t>元；承包人结算资料有重复报审的，发包人每发现一次视影响程度处罚承包人</w:t>
      </w:r>
      <w:r>
        <w:rPr>
          <w:rFonts w:ascii="仿宋" w:hAnsi="仿宋" w:eastAsia="仿宋" w:cs="仿宋"/>
          <w:color w:val="000000" w:themeColor="text1"/>
          <w:sz w:val="30"/>
          <w:szCs w:val="30"/>
          <w:u w:val="single"/>
          <w14:textFill>
            <w14:solidFill>
              <w14:schemeClr w14:val="tx1"/>
            </w14:solidFill>
          </w14:textFill>
        </w:rPr>
        <w:t>3000-10000</w:t>
      </w:r>
      <w:r>
        <w:rPr>
          <w:rFonts w:ascii="Times New Roman" w:hAnsi="Times New Roman" w:eastAsia="仿宋_GB2312"/>
          <w:color w:val="000000" w:themeColor="text1"/>
          <w:sz w:val="30"/>
          <w:szCs w:val="32"/>
          <w14:textFill>
            <w14:solidFill>
              <w14:schemeClr w14:val="tx1"/>
            </w14:solidFill>
          </w14:textFill>
        </w:rPr>
        <w:t xml:space="preserve"> </w:t>
      </w:r>
      <w:r>
        <w:rPr>
          <w:rFonts w:hint="eastAsia" w:ascii="Times New Roman" w:hAnsi="Times New Roman" w:eastAsia="仿宋_GB2312"/>
          <w:color w:val="000000" w:themeColor="text1"/>
          <w:sz w:val="30"/>
          <w:szCs w:val="32"/>
          <w14:textFill>
            <w14:solidFill>
              <w14:schemeClr w14:val="tx1"/>
            </w14:solidFill>
          </w14:textFill>
        </w:rPr>
        <w:t>元；承包人报审竣工结算时提供虚假材料的，发包人每发现一次视影响程度处罚承包人</w:t>
      </w:r>
      <w:r>
        <w:rPr>
          <w:rFonts w:ascii="仿宋" w:hAnsi="仿宋" w:eastAsia="仿宋" w:cs="仿宋"/>
          <w:color w:val="000000" w:themeColor="text1"/>
          <w:sz w:val="30"/>
          <w:szCs w:val="30"/>
          <w:u w:val="single"/>
          <w14:textFill>
            <w14:solidFill>
              <w14:schemeClr w14:val="tx1"/>
            </w14:solidFill>
          </w14:textFill>
        </w:rPr>
        <w:t xml:space="preserve">10000-50000 </w:t>
      </w:r>
      <w:r>
        <w:rPr>
          <w:rFonts w:hint="eastAsia" w:ascii="Times New Roman" w:hAnsi="Times New Roman" w:eastAsia="仿宋_GB2312"/>
          <w:color w:val="000000" w:themeColor="text1"/>
          <w:sz w:val="30"/>
          <w:szCs w:val="32"/>
          <w14:textFill>
            <w14:solidFill>
              <w14:schemeClr w14:val="tx1"/>
            </w14:solidFill>
          </w14:textFill>
        </w:rPr>
        <w:t>元。</w:t>
      </w:r>
    </w:p>
    <w:p>
      <w:pPr>
        <w:pStyle w:val="33"/>
        <w:spacing w:before="156" w:after="156" w:line="360" w:lineRule="auto"/>
        <w:ind w:firstLine="300" w:firstLineChars="100"/>
        <w:rPr>
          <w:rFonts w:ascii="仿宋_GB2312" w:hAnsi="Times New Roman" w:eastAsia="仿宋_GB2312"/>
          <w:iCs/>
          <w:sz w:val="30"/>
        </w:rPr>
      </w:pPr>
      <w:r>
        <w:rPr>
          <w:rFonts w:hint="eastAsia" w:ascii="Times New Roman" w:hAnsi="Times New Roman"/>
          <w:iCs/>
          <w:sz w:val="30"/>
        </w:rPr>
        <w:t>（</w:t>
      </w:r>
      <w:r>
        <w:rPr>
          <w:rFonts w:ascii="Times New Roman" w:hAnsi="Times New Roman"/>
          <w:iCs/>
          <w:sz w:val="30"/>
        </w:rPr>
        <w:t>10</w:t>
      </w:r>
      <w:r>
        <w:rPr>
          <w:rFonts w:hint="eastAsia" w:ascii="Times New Roman" w:hAnsi="Times New Roman"/>
          <w:iCs/>
          <w:sz w:val="30"/>
        </w:rPr>
        <w:t>）</w:t>
      </w:r>
      <w:r>
        <w:rPr>
          <w:rFonts w:hint="eastAsia" w:ascii="仿宋_GB2312" w:hAnsi="Times New Roman" w:eastAsia="仿宋_GB2312"/>
          <w:iCs/>
          <w:sz w:val="30"/>
        </w:rPr>
        <w:t>工程项目结算</w:t>
      </w:r>
      <w:r>
        <w:rPr>
          <w:rFonts w:hint="eastAsia" w:ascii="仿宋_GB2312" w:hAnsi="Times New Roman" w:eastAsia="仿宋_GB2312"/>
          <w:iCs/>
          <w:sz w:val="30"/>
          <w:szCs w:val="32"/>
        </w:rPr>
        <w:t>的</w:t>
      </w:r>
      <w:r>
        <w:rPr>
          <w:rFonts w:hint="eastAsia" w:ascii="仿宋_GB2312" w:hAnsi="Times New Roman" w:eastAsia="仿宋_GB2312"/>
          <w:iCs/>
          <w:sz w:val="30"/>
        </w:rPr>
        <w:t>报审金额100万元及以下，</w:t>
      </w:r>
      <w:r>
        <w:rPr>
          <w:rFonts w:hint="eastAsia" w:ascii="仿宋_GB2312" w:hAnsi="Times New Roman" w:eastAsia="仿宋_GB2312"/>
          <w:iCs/>
          <w:sz w:val="30"/>
          <w:szCs w:val="32"/>
        </w:rPr>
        <w:t>综合</w:t>
      </w:r>
      <w:r>
        <w:rPr>
          <w:rFonts w:hint="eastAsia" w:ascii="仿宋_GB2312" w:hAnsi="Times New Roman" w:eastAsia="仿宋_GB2312"/>
          <w:iCs/>
          <w:sz w:val="30"/>
        </w:rPr>
        <w:t>审减率超出10%的；结算</w:t>
      </w:r>
      <w:r>
        <w:rPr>
          <w:rFonts w:hint="eastAsia" w:ascii="仿宋_GB2312" w:hAnsi="Times New Roman" w:eastAsia="仿宋_GB2312"/>
          <w:iCs/>
          <w:sz w:val="30"/>
          <w:szCs w:val="32"/>
        </w:rPr>
        <w:t>的</w:t>
      </w:r>
      <w:r>
        <w:rPr>
          <w:rFonts w:hint="eastAsia" w:ascii="仿宋_GB2312" w:hAnsi="Times New Roman" w:eastAsia="仿宋_GB2312"/>
          <w:iCs/>
          <w:sz w:val="30"/>
        </w:rPr>
        <w:t>报审金额100万元以上且1000万元及以下，</w:t>
      </w:r>
      <w:r>
        <w:rPr>
          <w:rFonts w:hint="eastAsia" w:ascii="仿宋_GB2312" w:hAnsi="Times New Roman" w:eastAsia="仿宋_GB2312"/>
          <w:iCs/>
          <w:sz w:val="30"/>
          <w:szCs w:val="32"/>
        </w:rPr>
        <w:t>综合</w:t>
      </w:r>
      <w:r>
        <w:rPr>
          <w:rFonts w:hint="eastAsia" w:ascii="仿宋_GB2312" w:hAnsi="Times New Roman" w:eastAsia="仿宋_GB2312"/>
          <w:iCs/>
          <w:sz w:val="30"/>
        </w:rPr>
        <w:t>审减率超出8%的；结算</w:t>
      </w:r>
      <w:r>
        <w:rPr>
          <w:rFonts w:hint="eastAsia" w:ascii="仿宋_GB2312" w:hAnsi="Times New Roman" w:eastAsia="仿宋_GB2312"/>
          <w:iCs/>
          <w:sz w:val="30"/>
          <w:szCs w:val="32"/>
        </w:rPr>
        <w:t>的</w:t>
      </w:r>
      <w:r>
        <w:rPr>
          <w:rFonts w:hint="eastAsia" w:ascii="仿宋_GB2312" w:hAnsi="Times New Roman" w:eastAsia="仿宋_GB2312"/>
          <w:iCs/>
          <w:sz w:val="30"/>
        </w:rPr>
        <w:t>报审金额1000万元以上，</w:t>
      </w:r>
      <w:r>
        <w:rPr>
          <w:rFonts w:hint="eastAsia" w:ascii="仿宋_GB2312" w:hAnsi="Times New Roman" w:eastAsia="仿宋_GB2312"/>
          <w:iCs/>
          <w:sz w:val="30"/>
          <w:szCs w:val="32"/>
        </w:rPr>
        <w:t>综合</w:t>
      </w:r>
      <w:r>
        <w:rPr>
          <w:rFonts w:hint="eastAsia" w:ascii="仿宋_GB2312" w:hAnsi="Times New Roman" w:eastAsia="仿宋_GB2312"/>
          <w:iCs/>
          <w:sz w:val="30"/>
        </w:rPr>
        <w:t>审减率超出5%的工程项目，均按超出部分的</w:t>
      </w:r>
      <w:r>
        <w:rPr>
          <w:rFonts w:hint="eastAsia" w:ascii="仿宋_GB2312" w:hAnsi="Times New Roman" w:eastAsia="仿宋_GB2312"/>
          <w:iCs/>
          <w:sz w:val="30"/>
          <w:szCs w:val="32"/>
        </w:rPr>
        <w:t>2</w:t>
      </w:r>
      <w:r>
        <w:rPr>
          <w:rFonts w:hint="eastAsia" w:ascii="仿宋_GB2312" w:hAnsi="Times New Roman" w:eastAsia="仿宋_GB2312"/>
          <w:iCs/>
          <w:sz w:val="30"/>
        </w:rPr>
        <w:t>%对施工单位进行考核。</w:t>
      </w:r>
    </w:p>
    <w:p>
      <w:pPr>
        <w:pStyle w:val="33"/>
        <w:spacing w:before="156" w:after="156" w:line="360" w:lineRule="auto"/>
        <w:ind w:firstLine="300" w:firstLineChars="100"/>
        <w:rPr>
          <w:rFonts w:ascii="仿宋_GB2312" w:hAnsi="Times New Roman" w:eastAsia="仿宋_GB2312"/>
          <w:iCs/>
          <w:sz w:val="30"/>
        </w:rPr>
      </w:pPr>
      <w:r>
        <w:rPr>
          <w:rFonts w:hint="eastAsia" w:ascii="仿宋_GB2312" w:hAnsi="Times New Roman" w:eastAsia="仿宋_GB2312"/>
          <w:iCs/>
          <w:sz w:val="30"/>
        </w:rPr>
        <w:t>（11）分部</w:t>
      </w:r>
      <w:r>
        <w:rPr>
          <w:rFonts w:hint="eastAsia" w:ascii="仿宋_GB2312" w:hAnsi="Times New Roman" w:eastAsia="仿宋_GB2312"/>
          <w:iCs/>
          <w:sz w:val="30"/>
          <w:szCs w:val="32"/>
        </w:rPr>
        <w:t>及</w:t>
      </w:r>
      <w:r>
        <w:rPr>
          <w:rFonts w:hint="eastAsia" w:ascii="仿宋_GB2312" w:hAnsi="Times New Roman" w:eastAsia="仿宋_GB2312"/>
          <w:iCs/>
          <w:sz w:val="30"/>
        </w:rPr>
        <w:t>分项清单单项审定金额与</w:t>
      </w:r>
      <w:r>
        <w:rPr>
          <w:rFonts w:hint="eastAsia" w:ascii="仿宋_GB2312" w:hAnsi="Times New Roman" w:eastAsia="仿宋_GB2312"/>
          <w:iCs/>
          <w:sz w:val="30"/>
          <w:szCs w:val="32"/>
        </w:rPr>
        <w:t>结算</w:t>
      </w:r>
      <w:r>
        <w:rPr>
          <w:rFonts w:hint="eastAsia" w:ascii="仿宋_GB2312" w:hAnsi="Times New Roman" w:eastAsia="仿宋_GB2312"/>
          <w:iCs/>
          <w:sz w:val="30"/>
        </w:rPr>
        <w:t>报审金额相比，</w:t>
      </w:r>
      <w:r>
        <w:rPr>
          <w:rFonts w:hint="eastAsia" w:ascii="仿宋_GB2312" w:hAnsi="Times New Roman" w:eastAsia="仿宋_GB2312"/>
          <w:iCs/>
          <w:sz w:val="30"/>
          <w:szCs w:val="32"/>
        </w:rPr>
        <w:t>分项</w:t>
      </w:r>
      <w:r>
        <w:rPr>
          <w:rFonts w:hint="eastAsia" w:ascii="仿宋_GB2312" w:hAnsi="Times New Roman" w:eastAsia="仿宋_GB2312"/>
          <w:iCs/>
          <w:sz w:val="30"/>
        </w:rPr>
        <w:t>审减率30%及以下不予处罚；</w:t>
      </w:r>
      <w:r>
        <w:rPr>
          <w:rFonts w:hint="eastAsia" w:ascii="仿宋_GB2312" w:hAnsi="Times New Roman" w:eastAsia="仿宋_GB2312"/>
          <w:iCs/>
          <w:sz w:val="30"/>
          <w:szCs w:val="32"/>
        </w:rPr>
        <w:t>分项</w:t>
      </w:r>
      <w:r>
        <w:rPr>
          <w:rFonts w:hint="eastAsia" w:ascii="仿宋_GB2312" w:hAnsi="Times New Roman" w:eastAsia="仿宋_GB2312"/>
          <w:iCs/>
          <w:sz w:val="30"/>
        </w:rPr>
        <w:t>审减率30%以上且50%及以下的，按超出30%部分的</w:t>
      </w:r>
      <w:r>
        <w:rPr>
          <w:rFonts w:hint="eastAsia" w:ascii="仿宋_GB2312" w:hAnsi="Times New Roman" w:eastAsia="仿宋_GB2312"/>
          <w:iCs/>
          <w:sz w:val="30"/>
          <w:szCs w:val="32"/>
        </w:rPr>
        <w:t>15</w:t>
      </w:r>
      <w:r>
        <w:rPr>
          <w:rFonts w:hint="eastAsia" w:ascii="仿宋_GB2312" w:hAnsi="Times New Roman" w:eastAsia="仿宋_GB2312"/>
          <w:iCs/>
          <w:sz w:val="30"/>
        </w:rPr>
        <w:t>%对施工单位进行考核；</w:t>
      </w:r>
      <w:r>
        <w:rPr>
          <w:rFonts w:hint="eastAsia" w:ascii="仿宋_GB2312" w:hAnsi="Times New Roman" w:eastAsia="仿宋_GB2312"/>
          <w:iCs/>
          <w:sz w:val="30"/>
          <w:szCs w:val="32"/>
        </w:rPr>
        <w:t>分项</w:t>
      </w:r>
      <w:r>
        <w:rPr>
          <w:rFonts w:hint="eastAsia" w:ascii="仿宋_GB2312" w:hAnsi="Times New Roman" w:eastAsia="仿宋_GB2312"/>
          <w:iCs/>
          <w:sz w:val="30"/>
        </w:rPr>
        <w:t>审减率</w:t>
      </w:r>
      <w:r>
        <w:rPr>
          <w:rFonts w:hint="eastAsia" w:ascii="仿宋_GB2312" w:hAnsi="Times New Roman" w:eastAsia="仿宋_GB2312"/>
          <w:iCs/>
          <w:sz w:val="30"/>
          <w:szCs w:val="32"/>
        </w:rPr>
        <w:t>大于等于</w:t>
      </w:r>
      <w:r>
        <w:rPr>
          <w:rFonts w:hint="eastAsia" w:ascii="仿宋_GB2312" w:hAnsi="Times New Roman" w:eastAsia="仿宋_GB2312"/>
          <w:iCs/>
          <w:sz w:val="30"/>
        </w:rPr>
        <w:t>50%</w:t>
      </w:r>
      <w:r>
        <w:rPr>
          <w:rFonts w:hint="eastAsia" w:ascii="仿宋_GB2312" w:hAnsi="Times New Roman" w:eastAsia="仿宋_GB2312"/>
          <w:iCs/>
          <w:sz w:val="30"/>
          <w:szCs w:val="32"/>
        </w:rPr>
        <w:t>且小于100%</w:t>
      </w:r>
      <w:r>
        <w:rPr>
          <w:rFonts w:hint="eastAsia" w:ascii="仿宋_GB2312" w:hAnsi="Times New Roman" w:eastAsia="仿宋_GB2312"/>
          <w:iCs/>
          <w:sz w:val="30"/>
        </w:rPr>
        <w:t>的，按超出30%部分的</w:t>
      </w:r>
      <w:r>
        <w:rPr>
          <w:rFonts w:hint="eastAsia" w:ascii="仿宋_GB2312" w:hAnsi="Times New Roman" w:eastAsia="仿宋_GB2312"/>
          <w:iCs/>
          <w:sz w:val="30"/>
          <w:szCs w:val="32"/>
        </w:rPr>
        <w:t>30</w:t>
      </w:r>
      <w:r>
        <w:rPr>
          <w:rFonts w:hint="eastAsia" w:ascii="仿宋_GB2312" w:hAnsi="Times New Roman" w:eastAsia="仿宋_GB2312"/>
          <w:iCs/>
          <w:sz w:val="30"/>
        </w:rPr>
        <w:t>%对施工单位进行考核</w:t>
      </w:r>
      <w:r>
        <w:rPr>
          <w:rFonts w:hint="eastAsia" w:ascii="仿宋_GB2312" w:hAnsi="Times New Roman" w:eastAsia="仿宋_GB2312"/>
          <w:iCs/>
          <w:sz w:val="30"/>
          <w:szCs w:val="32"/>
        </w:rPr>
        <w:t>；分项审减率等于100%的，按审减金额的50%对施工单位进行考核。</w:t>
      </w:r>
    </w:p>
    <w:p>
      <w:pPr>
        <w:pStyle w:val="33"/>
        <w:spacing w:before="156" w:after="156" w:line="360" w:lineRule="auto"/>
        <w:ind w:firstLine="300" w:firstLineChars="100"/>
        <w:rPr>
          <w:rFonts w:ascii="仿宋_GB2312" w:hAnsi="Times New Roman" w:eastAsia="仿宋_GB2312"/>
          <w:iCs/>
          <w:sz w:val="30"/>
        </w:rPr>
      </w:pPr>
      <w:r>
        <w:rPr>
          <w:rFonts w:hint="eastAsia" w:ascii="仿宋_GB2312" w:hAnsi="Times New Roman" w:eastAsia="仿宋_GB2312"/>
          <w:iCs/>
          <w:sz w:val="30"/>
        </w:rPr>
        <w:t>（12）除审计</w:t>
      </w:r>
      <w:r>
        <w:rPr>
          <w:rFonts w:hint="eastAsia" w:ascii="仿宋_GB2312" w:hAnsi="Times New Roman" w:eastAsia="仿宋_GB2312"/>
          <w:iCs/>
          <w:sz w:val="30"/>
          <w:szCs w:val="32"/>
        </w:rPr>
        <w:t>部</w:t>
      </w:r>
      <w:r>
        <w:rPr>
          <w:rFonts w:hint="eastAsia" w:ascii="仿宋_GB2312" w:hAnsi="Times New Roman" w:eastAsia="仿宋_GB2312"/>
          <w:iCs/>
          <w:sz w:val="30"/>
        </w:rPr>
        <w:t>或委托审计机构要求补充的资料外，施工单位</w:t>
      </w:r>
      <w:bookmarkStart w:id="105" w:name="_Hlk211260272"/>
      <w:r>
        <w:rPr>
          <w:rFonts w:hint="eastAsia" w:ascii="仿宋_GB2312" w:hAnsi="Times New Roman" w:eastAsia="仿宋_GB2312"/>
          <w:iCs/>
          <w:sz w:val="30"/>
        </w:rPr>
        <w:t>初次报审后再次以漏报为由报增的</w:t>
      </w:r>
      <w:bookmarkEnd w:id="105"/>
      <w:r>
        <w:rPr>
          <w:rFonts w:hint="eastAsia" w:ascii="仿宋_GB2312" w:hAnsi="Times New Roman" w:eastAsia="仿宋_GB2312"/>
          <w:iCs/>
          <w:sz w:val="30"/>
        </w:rPr>
        <w:t>，按报增部分审定金额的10%进行考核。</w:t>
      </w:r>
    </w:p>
    <w:p>
      <w:pPr>
        <w:pStyle w:val="33"/>
        <w:spacing w:before="156" w:beforeAutospacing="0" w:after="156" w:afterAutospacing="0" w:line="360" w:lineRule="auto"/>
        <w:ind w:firstLine="300" w:firstLineChars="100"/>
        <w:rPr>
          <w:rFonts w:ascii="仿宋_GB2312" w:hAnsi="Times New Roman" w:eastAsia="仿宋_GB2312"/>
          <w:i/>
          <w:iCs/>
          <w:color w:val="FF0000"/>
          <w:sz w:val="30"/>
          <w:szCs w:val="32"/>
        </w:rPr>
      </w:pPr>
      <w:r>
        <w:rPr>
          <w:rFonts w:hint="eastAsia" w:ascii="仿宋_GB2312" w:hAnsi="Times New Roman" w:eastAsia="仿宋_GB2312"/>
          <w:color w:val="000000"/>
          <w:sz w:val="30"/>
          <w:szCs w:val="32"/>
        </w:rPr>
        <w:t>（13）按上述考核规则，当考核金额合计不超过5000元或不超过(审减金额-报审金额*10%)*25%时，按5000元与(审减金额-报审金额*10%)*25%中较大值进行考核；当考核金额合计大于5000元且大于(审减金额-报审金额*10%)*25%时，按实际金额进行考核，由施工单位承担。</w:t>
      </w:r>
    </w:p>
    <w:p>
      <w:pPr>
        <w:pStyle w:val="33"/>
        <w:spacing w:before="156" w:beforeAutospacing="0" w:after="156" w:afterAutospacing="0" w:line="240" w:lineRule="auto"/>
        <w:ind w:firstLine="300" w:firstLineChars="100"/>
        <w:rPr>
          <w:rFonts w:ascii="Times New Roman" w:hAnsi="Times New Roman" w:eastAsia="仿宋_GB2312"/>
          <w:color w:val="000000"/>
          <w:sz w:val="30"/>
          <w:szCs w:val="32"/>
        </w:rPr>
      </w:pPr>
      <w:r>
        <w:rPr>
          <w:rFonts w:hint="eastAsia" w:ascii="仿宋_GB2312" w:hAnsi="Times New Roman" w:eastAsia="仿宋_GB2312"/>
          <w:color w:val="000000"/>
          <w:sz w:val="30"/>
          <w:szCs w:val="32"/>
        </w:rPr>
        <w:t>（14）结算报审时考核条款发生变化的</w:t>
      </w:r>
      <w:r>
        <w:rPr>
          <w:rFonts w:hint="eastAsia" w:ascii="Times New Roman" w:hAnsi="Times New Roman" w:eastAsia="仿宋_GB2312"/>
          <w:color w:val="000000"/>
          <w:sz w:val="30"/>
          <w:szCs w:val="32"/>
        </w:rPr>
        <w:t>，按最新规定执行。</w:t>
      </w:r>
    </w:p>
    <w:p>
      <w:pPr>
        <w:pStyle w:val="33"/>
        <w:spacing w:before="156" w:beforeAutospacing="0" w:after="156" w:afterAutospacing="0" w:line="240" w:lineRule="auto"/>
        <w:ind w:firstLine="300" w:firstLineChars="100"/>
        <w:rPr>
          <w:rFonts w:ascii="Times New Roman" w:hAnsi="Times New Roman" w:eastAsia="仿宋_GB2312"/>
          <w:color w:val="000000"/>
          <w:sz w:val="30"/>
          <w:szCs w:val="32"/>
        </w:rPr>
      </w:pPr>
      <w:r>
        <w:rPr>
          <w:rFonts w:hint="eastAsia" w:ascii="Times New Roman" w:hAnsi="Times New Roman" w:eastAsia="仿宋_GB2312"/>
          <w:color w:val="000000"/>
          <w:sz w:val="30"/>
          <w:szCs w:val="32"/>
        </w:rPr>
        <w:t>（15）凡项目竣工验收</w:t>
      </w:r>
      <w:r>
        <w:rPr>
          <w:rFonts w:hint="eastAsia" w:ascii="Times New Roman" w:hAnsi="Times New Roman"/>
          <w:color w:val="000000" w:themeColor="text1"/>
          <w:sz w:val="30"/>
          <w14:textFill>
            <w14:solidFill>
              <w14:schemeClr w14:val="tx1"/>
            </w14:solidFill>
          </w14:textFill>
        </w:rPr>
        <w:t>合格</w:t>
      </w:r>
      <w:r>
        <w:rPr>
          <w:rFonts w:hint="eastAsia" w:ascii="Times New Roman" w:hAnsi="Times New Roman" w:eastAsia="仿宋_GB2312"/>
          <w:color w:val="000000"/>
          <w:sz w:val="30"/>
          <w:szCs w:val="32"/>
        </w:rPr>
        <w:t>后承包人超期未报审竣工结算资料的，每拖期一天发包人视影响程度处罚承包人</w:t>
      </w:r>
      <w:r>
        <w:rPr>
          <w:rFonts w:ascii="Times New Roman" w:hAnsi="Times New Roman" w:eastAsia="仿宋_GB2312"/>
          <w:color w:val="000000"/>
          <w:sz w:val="30"/>
          <w:szCs w:val="32"/>
        </w:rPr>
        <w:t xml:space="preserve"> </w:t>
      </w:r>
      <w:r>
        <w:rPr>
          <w:rFonts w:ascii="仿宋" w:hAnsi="仿宋" w:eastAsia="仿宋" w:cs="仿宋"/>
          <w:color w:val="000000"/>
          <w:sz w:val="30"/>
          <w:szCs w:val="30"/>
          <w:u w:val="single"/>
        </w:rPr>
        <w:t>1000-5000</w:t>
      </w:r>
      <w:r>
        <w:rPr>
          <w:rFonts w:ascii="Times New Roman" w:hAnsi="Times New Roman" w:eastAsia="仿宋_GB2312"/>
          <w:color w:val="000000"/>
          <w:sz w:val="30"/>
          <w:szCs w:val="32"/>
        </w:rPr>
        <w:t xml:space="preserve"> </w:t>
      </w:r>
      <w:r>
        <w:rPr>
          <w:rFonts w:hint="eastAsia" w:ascii="Times New Roman" w:hAnsi="Times New Roman" w:eastAsia="仿宋_GB2312"/>
          <w:color w:val="000000"/>
          <w:sz w:val="30"/>
          <w:szCs w:val="32"/>
        </w:rPr>
        <w:t>元/天。</w:t>
      </w:r>
    </w:p>
    <w:p>
      <w:pPr>
        <w:pStyle w:val="33"/>
        <w:spacing w:before="156" w:beforeAutospacing="0" w:after="156" w:afterAutospacing="0" w:line="240" w:lineRule="auto"/>
        <w:ind w:firstLine="300" w:firstLineChars="100"/>
        <w:rPr>
          <w:rFonts w:eastAsia="仿宋_GB2312"/>
          <w:color w:val="000000" w:themeColor="text1"/>
          <w:sz w:val="30"/>
          <w:szCs w:val="32"/>
          <w14:textFill>
            <w14:solidFill>
              <w14:schemeClr w14:val="tx1"/>
            </w14:solidFill>
          </w14:textFill>
        </w:rPr>
      </w:pPr>
      <w:r>
        <w:rPr>
          <w:rFonts w:hint="eastAsia" w:ascii="Times New Roman" w:hAnsi="Times New Roman" w:eastAsia="仿宋_GB2312"/>
          <w:color w:val="000000"/>
          <w:sz w:val="30"/>
          <w:szCs w:val="32"/>
        </w:rPr>
        <w:t>（</w:t>
      </w:r>
      <w:r>
        <w:rPr>
          <w:rFonts w:ascii="Times New Roman" w:hAnsi="Times New Roman" w:eastAsia="仿宋_GB2312"/>
          <w:color w:val="000000"/>
          <w:sz w:val="30"/>
          <w:szCs w:val="32"/>
        </w:rPr>
        <w:t>1</w:t>
      </w:r>
      <w:r>
        <w:rPr>
          <w:rFonts w:hint="eastAsia" w:ascii="Times New Roman" w:hAnsi="Times New Roman" w:eastAsia="仿宋_GB2312"/>
          <w:color w:val="000000"/>
          <w:sz w:val="30"/>
          <w:szCs w:val="32"/>
        </w:rPr>
        <w:t>6）承包人未及时</w:t>
      </w:r>
      <w:r>
        <w:rPr>
          <w:rFonts w:hint="eastAsia" w:ascii="Times New Roman" w:hAnsi="Times New Roman"/>
          <w:color w:val="000000" w:themeColor="text1"/>
          <w:sz w:val="30"/>
          <w14:textFill>
            <w14:solidFill>
              <w14:schemeClr w14:val="tx1"/>
            </w14:solidFill>
          </w14:textFill>
        </w:rPr>
        <w:t>配合</w:t>
      </w:r>
      <w:r>
        <w:rPr>
          <w:rFonts w:hint="eastAsia" w:ascii="Times New Roman" w:hAnsi="Times New Roman" w:eastAsia="仿宋_GB2312"/>
          <w:color w:val="000000"/>
          <w:sz w:val="30"/>
          <w:szCs w:val="32"/>
        </w:rPr>
        <w:t>工程审计单位开展工作的，发包人每发现一次视影响程度处罚承包人</w:t>
      </w:r>
      <w:r>
        <w:rPr>
          <w:rFonts w:ascii="仿宋" w:hAnsi="仿宋" w:eastAsia="仿宋" w:cs="仿宋"/>
          <w:color w:val="000000"/>
          <w:sz w:val="30"/>
          <w:szCs w:val="30"/>
          <w:u w:val="single"/>
        </w:rPr>
        <w:t>3000-10000</w:t>
      </w:r>
      <w:r>
        <w:rPr>
          <w:rFonts w:ascii="Times New Roman" w:hAnsi="Times New Roman" w:eastAsia="仿宋_GB2312"/>
          <w:color w:val="000000"/>
          <w:sz w:val="30"/>
          <w:szCs w:val="32"/>
        </w:rPr>
        <w:t xml:space="preserve"> </w:t>
      </w:r>
      <w:r>
        <w:rPr>
          <w:rFonts w:hint="eastAsia" w:ascii="Times New Roman" w:hAnsi="Times New Roman" w:eastAsia="仿宋_GB2312"/>
          <w:color w:val="000000"/>
          <w:sz w:val="30"/>
          <w:szCs w:val="32"/>
        </w:rPr>
        <w:t>元。</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16.2.3 </w:t>
      </w:r>
      <w:r>
        <w:rPr>
          <w:rFonts w:hint="eastAsia" w:eastAsia="仿宋_GB2312"/>
          <w:color w:val="000000" w:themeColor="text1"/>
          <w:sz w:val="30"/>
          <w:szCs w:val="32"/>
          <w14:textFill>
            <w14:solidFill>
              <w14:schemeClr w14:val="tx1"/>
            </w14:solidFill>
          </w14:textFill>
        </w:rPr>
        <w:t>因承包人违约解除合同</w:t>
      </w:r>
    </w:p>
    <w:p>
      <w:pPr>
        <w:spacing w:before="156" w:after="156"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关于承包人违约解除合同的特别约定：</w:t>
      </w:r>
      <w:r>
        <w:rPr>
          <w:rFonts w:hint="eastAsia" w:eastAsia="仿宋_GB2312"/>
          <w:color w:val="000000" w:themeColor="text1"/>
          <w:kern w:val="0"/>
          <w:sz w:val="30"/>
          <w:szCs w:val="32"/>
          <w:u w:val="single"/>
          <w14:textFill>
            <w14:solidFill>
              <w14:schemeClr w14:val="tx1"/>
            </w14:solidFill>
          </w14:textFill>
        </w:rPr>
        <w:t>前述专用条款有约定的按专用条款约定执行</w:t>
      </w:r>
      <w:r>
        <w:rPr>
          <w:rFonts w:hint="eastAsia" w:eastAsia="仿宋_GB2312"/>
          <w:color w:val="000000" w:themeColor="text1"/>
          <w:kern w:val="0"/>
          <w:sz w:val="30"/>
          <w:szCs w:val="32"/>
          <w14:textFill>
            <w14:solidFill>
              <w14:schemeClr w14:val="tx1"/>
            </w14:solidFill>
          </w14:textFill>
        </w:rPr>
        <w:t>。</w:t>
      </w:r>
    </w:p>
    <w:p>
      <w:pPr>
        <w:spacing w:before="156" w:after="156" w:line="360" w:lineRule="auto"/>
        <w:ind w:firstLine="600" w:firstLineChars="200"/>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发包人继续使用承包人在施工现场的材料、设备、临时工程、承包人文件和由承包人或以其名义编制的其他文件的费用承担方式：</w:t>
      </w:r>
      <w:r>
        <w:rPr>
          <w:rFonts w:hint="eastAsia" w:eastAsia="仿宋_GB2312"/>
          <w:color w:val="000000" w:themeColor="text1"/>
          <w:kern w:val="0"/>
          <w:sz w:val="30"/>
          <w:szCs w:val="32"/>
          <w:u w:val="single"/>
          <w14:textFill>
            <w14:solidFill>
              <w14:schemeClr w14:val="tx1"/>
            </w14:solidFill>
          </w14:textFill>
        </w:rPr>
        <w:t>材料、设备、临时工程协商处理，其他费用发包人不予承担。</w:t>
      </w:r>
    </w:p>
    <w:p>
      <w:pPr>
        <w:pStyle w:val="8"/>
      </w:pPr>
      <w:r>
        <w:t xml:space="preserve">17. </w:t>
      </w:r>
      <w:r>
        <w:rPr>
          <w:rFonts w:hint="eastAsia"/>
        </w:rPr>
        <w:t>不可抗力</w:t>
      </w:r>
    </w:p>
    <w:p>
      <w:pPr>
        <w:pStyle w:val="9"/>
      </w:pPr>
      <w:r>
        <w:t xml:space="preserve">17.1 </w:t>
      </w:r>
      <w:r>
        <w:rPr>
          <w:rFonts w:hint="eastAsia"/>
        </w:rPr>
        <w:t>不可抗力的确认</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除通用合同条款约定的不可抗力事件之外，视为不可抗力的其他情形：</w:t>
      </w:r>
      <w:r>
        <w:rPr>
          <w:rFonts w:eastAsia="仿宋_GB2312"/>
          <w:color w:val="000000" w:themeColor="text1"/>
          <w:sz w:val="30"/>
          <w:szCs w:val="32"/>
          <w14:textFill>
            <w14:solidFill>
              <w14:schemeClr w14:val="tx1"/>
            </w14:solidFill>
          </w14:textFill>
        </w:rPr>
        <w:t xml:space="preserve"> </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 xml:space="preserve">17.1.1  </w:t>
      </w:r>
      <w:r>
        <w:rPr>
          <w:rFonts w:hint="eastAsia" w:eastAsia="仿宋_GB2312"/>
          <w:color w:val="000000" w:themeColor="text1"/>
          <w:sz w:val="30"/>
          <w:szCs w:val="32"/>
          <w:lang w:bidi="ar"/>
          <w14:textFill>
            <w14:solidFill>
              <w14:schemeClr w14:val="tx1"/>
            </w14:solidFill>
          </w14:textFill>
        </w:rPr>
        <w:t>7</w:t>
      </w:r>
      <w:r>
        <w:rPr>
          <w:rFonts w:eastAsia="仿宋_GB2312" w:cs="仿宋_GB2312"/>
          <w:color w:val="000000" w:themeColor="text1"/>
          <w:sz w:val="30"/>
          <w:szCs w:val="32"/>
          <w:lang w:bidi="ar"/>
          <w14:textFill>
            <w14:solidFill>
              <w14:schemeClr w14:val="tx1"/>
            </w14:solidFill>
          </w14:textFill>
        </w:rPr>
        <w:t>级以上的地震；</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17.1.2  8</w:t>
      </w:r>
      <w:r>
        <w:rPr>
          <w:rFonts w:eastAsia="仿宋_GB2312" w:cs="仿宋_GB2312"/>
          <w:color w:val="000000" w:themeColor="text1"/>
          <w:sz w:val="30"/>
          <w:szCs w:val="32"/>
          <w:lang w:bidi="ar"/>
          <w14:textFill>
            <w14:solidFill>
              <w14:schemeClr w14:val="tx1"/>
            </w14:solidFill>
          </w14:textFill>
        </w:rPr>
        <w:t>级以上持续</w:t>
      </w:r>
      <w:r>
        <w:rPr>
          <w:rFonts w:eastAsia="仿宋_GB2312"/>
          <w:color w:val="000000" w:themeColor="text1"/>
          <w:sz w:val="30"/>
          <w:szCs w:val="32"/>
          <w:lang w:bidi="ar"/>
          <w14:textFill>
            <w14:solidFill>
              <w14:schemeClr w14:val="tx1"/>
            </w14:solidFill>
          </w14:textFill>
        </w:rPr>
        <w:t>24</w:t>
      </w:r>
      <w:r>
        <w:rPr>
          <w:rFonts w:eastAsia="仿宋_GB2312" w:cs="仿宋_GB2312"/>
          <w:color w:val="000000" w:themeColor="text1"/>
          <w:sz w:val="30"/>
          <w:szCs w:val="32"/>
          <w:lang w:bidi="ar"/>
          <w14:textFill>
            <w14:solidFill>
              <w14:schemeClr w14:val="tx1"/>
            </w14:solidFill>
          </w14:textFill>
        </w:rPr>
        <w:t>小时的大风；</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 xml:space="preserve">17.1.3  </w:t>
      </w:r>
      <w:r>
        <w:rPr>
          <w:rFonts w:eastAsia="仿宋_GB2312" w:cs="仿宋_GB2312"/>
          <w:color w:val="000000" w:themeColor="text1"/>
          <w:sz w:val="30"/>
          <w:szCs w:val="32"/>
          <w:lang w:bidi="ar"/>
          <w14:textFill>
            <w14:solidFill>
              <w14:schemeClr w14:val="tx1"/>
            </w14:solidFill>
          </w14:textFill>
        </w:rPr>
        <w:t>持续降雨</w:t>
      </w:r>
      <w:r>
        <w:rPr>
          <w:rFonts w:eastAsia="仿宋_GB2312"/>
          <w:color w:val="000000" w:themeColor="text1"/>
          <w:sz w:val="30"/>
          <w:szCs w:val="32"/>
          <w:lang w:bidi="ar"/>
          <w14:textFill>
            <w14:solidFill>
              <w14:schemeClr w14:val="tx1"/>
            </w14:solidFill>
          </w14:textFill>
        </w:rPr>
        <w:t>24</w:t>
      </w:r>
      <w:r>
        <w:rPr>
          <w:rFonts w:eastAsia="仿宋_GB2312" w:cs="仿宋_GB2312"/>
          <w:color w:val="000000" w:themeColor="text1"/>
          <w:sz w:val="30"/>
          <w:szCs w:val="32"/>
          <w:lang w:bidi="ar"/>
          <w14:textFill>
            <w14:solidFill>
              <w14:schemeClr w14:val="tx1"/>
            </w14:solidFill>
          </w14:textFill>
        </w:rPr>
        <w:t>小时且降雨量为</w:t>
      </w:r>
      <w:r>
        <w:rPr>
          <w:rFonts w:eastAsia="仿宋_GB2312"/>
          <w:color w:val="000000" w:themeColor="text1"/>
          <w:sz w:val="30"/>
          <w:szCs w:val="32"/>
          <w:lang w:bidi="ar"/>
          <w14:textFill>
            <w14:solidFill>
              <w14:schemeClr w14:val="tx1"/>
            </w14:solidFill>
          </w14:textFill>
        </w:rPr>
        <w:t>200mm</w:t>
      </w:r>
      <w:r>
        <w:rPr>
          <w:rFonts w:eastAsia="仿宋_GB2312" w:cs="仿宋_GB2312"/>
          <w:color w:val="000000" w:themeColor="text1"/>
          <w:sz w:val="30"/>
          <w:szCs w:val="32"/>
          <w:lang w:bidi="ar"/>
          <w14:textFill>
            <w14:solidFill>
              <w14:schemeClr w14:val="tx1"/>
            </w14:solidFill>
          </w14:textFill>
        </w:rPr>
        <w:t>以上；</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 xml:space="preserve">17.1.4  </w:t>
      </w:r>
      <w:r>
        <w:rPr>
          <w:rFonts w:eastAsia="仿宋_GB2312" w:cs="仿宋_GB2312"/>
          <w:color w:val="000000" w:themeColor="text1"/>
          <w:sz w:val="30"/>
          <w:szCs w:val="32"/>
          <w:lang w:bidi="ar"/>
          <w14:textFill>
            <w14:solidFill>
              <w14:schemeClr w14:val="tx1"/>
            </w14:solidFill>
          </w14:textFill>
        </w:rPr>
        <w:t>省级气象部门发布的气象预报的</w:t>
      </w:r>
      <w:r>
        <w:rPr>
          <w:rFonts w:hint="eastAsia" w:eastAsia="仿宋_GB2312" w:cs="仿宋_GB2312"/>
          <w:color w:val="000000" w:themeColor="text1"/>
          <w:sz w:val="30"/>
          <w:szCs w:val="32"/>
          <w:lang w:bidi="ar"/>
          <w14:textFill>
            <w14:solidFill>
              <w14:schemeClr w14:val="tx1"/>
            </w14:solidFill>
          </w14:textFill>
        </w:rPr>
        <w:t>持续</w:t>
      </w:r>
      <w:r>
        <w:rPr>
          <w:rFonts w:hint="eastAsia" w:eastAsia="仿宋_GB2312"/>
          <w:color w:val="000000" w:themeColor="text1"/>
          <w:sz w:val="30"/>
          <w:szCs w:val="32"/>
          <w:lang w:bidi="ar"/>
          <w14:textFill>
            <w14:solidFill>
              <w14:schemeClr w14:val="tx1"/>
            </w14:solidFill>
          </w14:textFill>
        </w:rPr>
        <w:t>3</w:t>
      </w:r>
      <w:r>
        <w:rPr>
          <w:rFonts w:eastAsia="仿宋_GB2312" w:cs="仿宋_GB2312"/>
          <w:color w:val="000000" w:themeColor="text1"/>
          <w:sz w:val="30"/>
          <w:szCs w:val="32"/>
          <w:lang w:bidi="ar"/>
          <w14:textFill>
            <w14:solidFill>
              <w14:schemeClr w14:val="tx1"/>
            </w14:solidFill>
          </w14:textFill>
        </w:rPr>
        <w:t>日最高温度</w:t>
      </w:r>
      <w:r>
        <w:rPr>
          <w:rFonts w:eastAsia="仿宋_GB2312"/>
          <w:color w:val="000000" w:themeColor="text1"/>
          <w:sz w:val="30"/>
          <w:szCs w:val="32"/>
          <w:lang w:bidi="ar"/>
          <w14:textFill>
            <w14:solidFill>
              <w14:schemeClr w14:val="tx1"/>
            </w14:solidFill>
          </w14:textFill>
        </w:rPr>
        <w:t>40</w:t>
      </w:r>
      <w:r>
        <w:rPr>
          <w:rFonts w:eastAsia="仿宋_GB2312" w:cs="仿宋_GB2312"/>
          <w:color w:val="000000" w:themeColor="text1"/>
          <w:sz w:val="30"/>
          <w:szCs w:val="32"/>
          <w:lang w:bidi="ar"/>
          <w14:textFill>
            <w14:solidFill>
              <w14:schemeClr w14:val="tx1"/>
            </w14:solidFill>
          </w14:textFill>
        </w:rPr>
        <w:t>℃及以上；</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 xml:space="preserve">17.1.5  </w:t>
      </w:r>
      <w:r>
        <w:rPr>
          <w:rFonts w:eastAsia="仿宋_GB2312" w:cs="仿宋_GB2312"/>
          <w:color w:val="000000" w:themeColor="text1"/>
          <w:sz w:val="30"/>
          <w:szCs w:val="32"/>
          <w:lang w:bidi="ar"/>
          <w14:textFill>
            <w14:solidFill>
              <w14:schemeClr w14:val="tx1"/>
            </w14:solidFill>
          </w14:textFill>
        </w:rPr>
        <w:t>日最低温度</w:t>
      </w:r>
      <w:r>
        <w:rPr>
          <w:rFonts w:eastAsia="仿宋_GB2312"/>
          <w:color w:val="000000" w:themeColor="text1"/>
          <w:sz w:val="30"/>
          <w:szCs w:val="32"/>
          <w:lang w:bidi="ar"/>
          <w14:textFill>
            <w14:solidFill>
              <w14:schemeClr w14:val="tx1"/>
            </w14:solidFill>
          </w14:textFill>
        </w:rPr>
        <w:t>-20</w:t>
      </w:r>
      <w:r>
        <w:rPr>
          <w:rFonts w:eastAsia="仿宋_GB2312" w:cs="仿宋_GB2312"/>
          <w:color w:val="000000" w:themeColor="text1"/>
          <w:sz w:val="30"/>
          <w:szCs w:val="32"/>
          <w:lang w:bidi="ar"/>
          <w14:textFill>
            <w14:solidFill>
              <w14:schemeClr w14:val="tx1"/>
            </w14:solidFill>
          </w14:textFill>
        </w:rPr>
        <w:t>℃及以下【有约定冬歇期地区冬季停工的除外】。</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17.1.6  6</w:t>
      </w:r>
      <w:r>
        <w:rPr>
          <w:rFonts w:eastAsia="仿宋_GB2312" w:cs="仿宋_GB2312"/>
          <w:color w:val="000000" w:themeColor="text1"/>
          <w:sz w:val="30"/>
          <w:szCs w:val="32"/>
          <w:lang w:bidi="ar"/>
          <w14:textFill>
            <w14:solidFill>
              <w14:schemeClr w14:val="tx1"/>
            </w14:solidFill>
          </w14:textFill>
        </w:rPr>
        <w:t>小时内降雪量达</w:t>
      </w:r>
      <w:r>
        <w:rPr>
          <w:rFonts w:eastAsia="仿宋_GB2312"/>
          <w:color w:val="000000" w:themeColor="text1"/>
          <w:sz w:val="30"/>
          <w:szCs w:val="32"/>
          <w:lang w:bidi="ar"/>
          <w14:textFill>
            <w14:solidFill>
              <w14:schemeClr w14:val="tx1"/>
            </w14:solidFill>
          </w14:textFill>
        </w:rPr>
        <w:t>15mm</w:t>
      </w:r>
      <w:r>
        <w:rPr>
          <w:rFonts w:eastAsia="仿宋_GB2312" w:cs="仿宋_GB2312"/>
          <w:color w:val="000000" w:themeColor="text1"/>
          <w:sz w:val="30"/>
          <w:szCs w:val="32"/>
          <w:lang w:bidi="ar"/>
          <w14:textFill>
            <w14:solidFill>
              <w14:schemeClr w14:val="tx1"/>
            </w14:solidFill>
          </w14:textFill>
        </w:rPr>
        <w:t>以上且降雪持续。（暴雪红色预警信号）</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eastAsia="仿宋_GB2312"/>
          <w:color w:val="000000" w:themeColor="text1"/>
          <w:sz w:val="30"/>
          <w:szCs w:val="32"/>
          <w:lang w:bidi="ar"/>
          <w14:textFill>
            <w14:solidFill>
              <w14:schemeClr w14:val="tx1"/>
            </w14:solidFill>
          </w14:textFill>
        </w:rPr>
        <w:t xml:space="preserve">17.1.7  </w:t>
      </w:r>
      <w:r>
        <w:rPr>
          <w:rFonts w:eastAsia="仿宋_GB2312" w:cs="仿宋_GB2312"/>
          <w:color w:val="000000" w:themeColor="text1"/>
          <w:sz w:val="30"/>
          <w:szCs w:val="32"/>
          <w:lang w:bidi="ar"/>
          <w14:textFill>
            <w14:solidFill>
              <w14:schemeClr w14:val="tx1"/>
            </w14:solidFill>
          </w14:textFill>
        </w:rPr>
        <w:t>由于政府限制类措施导致项目连续停工超</w:t>
      </w:r>
      <w:r>
        <w:rPr>
          <w:rFonts w:eastAsia="仿宋_GB2312"/>
          <w:color w:val="000000" w:themeColor="text1"/>
          <w:sz w:val="30"/>
          <w:szCs w:val="32"/>
          <w:lang w:bidi="ar"/>
          <w14:textFill>
            <w14:solidFill>
              <w14:schemeClr w14:val="tx1"/>
            </w14:solidFill>
          </w14:textFill>
        </w:rPr>
        <w:t>7</w:t>
      </w:r>
      <w:r>
        <w:rPr>
          <w:rFonts w:eastAsia="仿宋_GB2312" w:cs="仿宋_GB2312"/>
          <w:color w:val="000000" w:themeColor="text1"/>
          <w:sz w:val="30"/>
          <w:szCs w:val="32"/>
          <w:lang w:bidi="ar"/>
          <w14:textFill>
            <w14:solidFill>
              <w14:schemeClr w14:val="tx1"/>
            </w14:solidFill>
          </w14:textFill>
        </w:rPr>
        <w:t>天（含环保治理一级响应、政府突发普遍性停工措施等）。</w:t>
      </w:r>
    </w:p>
    <w:p>
      <w:pPr>
        <w:pStyle w:val="9"/>
      </w:pPr>
      <w:r>
        <w:t xml:space="preserve">17.4 </w:t>
      </w:r>
      <w:r>
        <w:rPr>
          <w:rFonts w:hint="eastAsia"/>
        </w:rPr>
        <w:t>因不可抗力解除合同</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合同解除后，发包人应在商定或确定发包人应支付款项后</w:t>
      </w:r>
      <w:r>
        <w:rPr>
          <w:rFonts w:eastAsia="仿宋_GB2312"/>
          <w:color w:val="000000" w:themeColor="text1"/>
          <w:sz w:val="30"/>
          <w:szCs w:val="32"/>
          <w:u w:val="single"/>
          <w14:textFill>
            <w14:solidFill>
              <w14:schemeClr w14:val="tx1"/>
            </w14:solidFill>
          </w14:textFill>
        </w:rPr>
        <w:t xml:space="preserve">  60 </w:t>
      </w:r>
      <w:r>
        <w:rPr>
          <w:rFonts w:hint="eastAsia" w:eastAsia="仿宋_GB2312"/>
          <w:color w:val="000000" w:themeColor="text1"/>
          <w:sz w:val="30"/>
          <w:szCs w:val="32"/>
          <w:u w:val="single"/>
          <w14:textFill>
            <w14:solidFill>
              <w14:schemeClr w14:val="tx1"/>
            </w14:solidFill>
          </w14:textFill>
        </w:rPr>
        <w:t>或者双方另签补充协议约定</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天内完成款项的支付。</w:t>
      </w:r>
    </w:p>
    <w:p>
      <w:pPr>
        <w:pStyle w:val="8"/>
      </w:pPr>
      <w:r>
        <w:t xml:space="preserve">18. </w:t>
      </w:r>
      <w:r>
        <w:rPr>
          <w:rFonts w:hint="eastAsia"/>
        </w:rPr>
        <w:t>保险</w:t>
      </w:r>
    </w:p>
    <w:p>
      <w:pPr>
        <w:pStyle w:val="9"/>
      </w:pPr>
      <w:r>
        <w:t xml:space="preserve">18.1 </w:t>
      </w:r>
      <w:r>
        <w:rPr>
          <w:rFonts w:hint="eastAsia"/>
        </w:rPr>
        <w:t>工程保险</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关于工程保险的特别约定：</w:t>
      </w:r>
      <w:r>
        <w:rPr>
          <w:rFonts w:eastAsia="仿宋_GB2312"/>
          <w:color w:val="000000" w:themeColor="text1"/>
          <w:kern w:val="0"/>
          <w:sz w:val="30"/>
          <w:szCs w:val="32"/>
          <w:u w:val="single"/>
          <w14:textFill>
            <w14:solidFill>
              <w14:schemeClr w14:val="tx1"/>
            </w14:solidFill>
          </w14:textFill>
        </w:rPr>
        <w:t xml:space="preserve"> </w:t>
      </w:r>
      <w:r>
        <w:rPr>
          <w:rFonts w:hint="eastAsia" w:eastAsia="仿宋_GB2312"/>
          <w:color w:val="000000" w:themeColor="text1"/>
          <w:kern w:val="0"/>
          <w:sz w:val="30"/>
          <w:szCs w:val="32"/>
          <w:u w:val="single"/>
          <w14:textFill>
            <w14:solidFill>
              <w14:schemeClr w14:val="tx1"/>
            </w14:solidFill>
          </w14:textFill>
        </w:rPr>
        <w:t>发包人将建筑工程一切险或安装工程一切险、第三者责任险、意外伤害险、在建工程财产险等的保险事项委托承包人办理，费用已包含在合同签约价中。承包人在投标时已自行测算所有保险费用，并已考虑风险因素。承包人的投保范围必须符合工程所在地相关政府主管部门的要求，并与合同承包范围一致。上述保险责任期限自承包人实际进场之日起至实际竣工退场。</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承包人若未按合同约定投保，施工期间所发生的一切与本工程有关的人员、工程、财产等意外伤害、损失，由承包人承担全部责任和费用。</w:t>
      </w:r>
    </w:p>
    <w:p>
      <w:pPr>
        <w:pStyle w:val="9"/>
      </w:pPr>
      <w:r>
        <w:t xml:space="preserve">18.3 </w:t>
      </w:r>
      <w:r>
        <w:rPr>
          <w:rFonts w:hint="eastAsia"/>
        </w:rPr>
        <w:t>其他保险</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关于其他保险的约定：</w:t>
      </w:r>
      <w:r>
        <w:rPr>
          <w:rFonts w:hint="eastAsia" w:eastAsia="仿宋_GB2312"/>
          <w:color w:val="000000" w:themeColor="text1"/>
          <w:kern w:val="0"/>
          <w:sz w:val="30"/>
          <w:szCs w:val="32"/>
          <w:u w:val="single"/>
          <w14:textFill>
            <w14:solidFill>
              <w14:schemeClr w14:val="tx1"/>
            </w14:solidFill>
          </w14:textFill>
        </w:rPr>
        <w:t>承包人支付的保险均已包含在合同签约价中，发包人不再单独支付</w:t>
      </w:r>
      <w:r>
        <w:rPr>
          <w:rFonts w:hint="eastAsia" w:eastAsia="仿宋_GB2312"/>
          <w:color w:val="000000" w:themeColor="text1"/>
          <w:kern w:val="0"/>
          <w:sz w:val="30"/>
          <w:szCs w:val="32"/>
          <w14:textFill>
            <w14:solidFill>
              <w14:schemeClr w14:val="tx1"/>
            </w14:solidFill>
          </w14:textFill>
        </w:rPr>
        <w:t>。</w:t>
      </w:r>
    </w:p>
    <w:p>
      <w:pPr>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承包人是否应为其施工设备等办理财产保险</w:t>
      </w:r>
      <w:r>
        <w:rPr>
          <w:rFonts w:hint="eastAsia"/>
          <w:color w:val="000000" w:themeColor="text1"/>
          <w:sz w:val="30"/>
          <w14:textFill>
            <w14:solidFill>
              <w14:schemeClr w14:val="tx1"/>
            </w14:solidFill>
          </w14:textFill>
        </w:rPr>
        <w:t>：</w:t>
      </w:r>
      <w:r>
        <w:rPr>
          <w:rFonts w:hint="eastAsia" w:eastAsia="仿宋_GB2312"/>
          <w:color w:val="000000" w:themeColor="text1"/>
          <w:sz w:val="30"/>
          <w:szCs w:val="32"/>
          <w:u w:val="single"/>
          <w14:textFill>
            <w14:solidFill>
              <w14:schemeClr w14:val="tx1"/>
            </w14:solidFill>
          </w14:textFill>
        </w:rPr>
        <w:t>是</w:t>
      </w:r>
      <w:r>
        <w:rPr>
          <w:rFonts w:hint="eastAsia" w:eastAsia="仿宋_GB2312"/>
          <w:color w:val="000000" w:themeColor="text1"/>
          <w:sz w:val="30"/>
          <w:szCs w:val="32"/>
          <w14:textFill>
            <w14:solidFill>
              <w14:schemeClr w14:val="tx1"/>
            </w14:solidFill>
          </w14:textFill>
        </w:rPr>
        <w:t>。</w:t>
      </w:r>
    </w:p>
    <w:p>
      <w:pPr>
        <w:pStyle w:val="9"/>
      </w:pPr>
      <w:r>
        <w:t xml:space="preserve">18.7 </w:t>
      </w:r>
      <w:r>
        <w:rPr>
          <w:rFonts w:hint="eastAsia"/>
        </w:rPr>
        <w:t>通知义务</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kern w:val="0"/>
          <w:sz w:val="30"/>
          <w:szCs w:val="32"/>
          <w14:textFill>
            <w14:solidFill>
              <w14:schemeClr w14:val="tx1"/>
            </w14:solidFill>
          </w14:textFill>
        </w:rPr>
        <w:t>关于变更</w:t>
      </w:r>
      <w:r>
        <w:rPr>
          <w:rFonts w:hint="eastAsia"/>
          <w:color w:val="000000" w:themeColor="text1"/>
          <w:sz w:val="30"/>
          <w14:textFill>
            <w14:solidFill>
              <w14:schemeClr w14:val="tx1"/>
            </w14:solidFill>
          </w14:textFill>
        </w:rPr>
        <w:t>保险</w:t>
      </w:r>
      <w:r>
        <w:rPr>
          <w:rFonts w:hint="eastAsia" w:eastAsia="仿宋_GB2312"/>
          <w:color w:val="000000" w:themeColor="text1"/>
          <w:kern w:val="0"/>
          <w:sz w:val="30"/>
          <w:szCs w:val="32"/>
          <w14:textFill>
            <w14:solidFill>
              <w14:schemeClr w14:val="tx1"/>
            </w14:solidFill>
          </w14:textFill>
        </w:rPr>
        <w:t>合同时的通知义务的约定：</w:t>
      </w:r>
      <w:r>
        <w:rPr>
          <w:rFonts w:hint="eastAsia" w:eastAsia="仿宋_GB2312"/>
          <w:color w:val="000000" w:themeColor="text1"/>
          <w:sz w:val="30"/>
          <w:szCs w:val="32"/>
          <w:u w:val="single"/>
          <w14:textFill>
            <w14:solidFill>
              <w14:schemeClr w14:val="tx1"/>
            </w14:solidFill>
          </w14:textFill>
        </w:rPr>
        <w:t>执行《通用合同条款》</w:t>
      </w:r>
      <w:r>
        <w:rPr>
          <w:rFonts w:hint="eastAsia" w:eastAsia="仿宋_GB2312"/>
          <w:color w:val="000000" w:themeColor="text1"/>
          <w:sz w:val="30"/>
          <w:szCs w:val="32"/>
          <w14:textFill>
            <w14:solidFill>
              <w14:schemeClr w14:val="tx1"/>
            </w14:solidFill>
          </w14:textFill>
        </w:rPr>
        <w:t>。</w:t>
      </w:r>
    </w:p>
    <w:p>
      <w:pPr>
        <w:pStyle w:val="8"/>
      </w:pPr>
      <w:r>
        <w:rPr>
          <w:rFonts w:hint="eastAsia"/>
        </w:rPr>
        <w:t>1</w:t>
      </w:r>
      <w:r>
        <w:t xml:space="preserve">9. </w:t>
      </w:r>
      <w:r>
        <w:rPr>
          <w:rFonts w:hint="eastAsia"/>
        </w:rPr>
        <w:t>索赔</w:t>
      </w:r>
    </w:p>
    <w:p>
      <w:pPr>
        <w:spacing w:line="360" w:lineRule="auto"/>
        <w:ind w:firstLine="600" w:firstLineChars="200"/>
        <w:jc w:val="left"/>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承包人收到按发包人签发的工作联系单、设计变更后，承包人应在</w:t>
      </w:r>
      <w:r>
        <w:rPr>
          <w:rFonts w:eastAsia="仿宋_GB2312"/>
          <w:color w:val="000000" w:themeColor="text1"/>
          <w:kern w:val="0"/>
          <w:sz w:val="30"/>
          <w:szCs w:val="32"/>
          <w:u w:val="single"/>
          <w14:textFill>
            <w14:solidFill>
              <w14:schemeClr w14:val="tx1"/>
            </w14:solidFill>
          </w14:textFill>
        </w:rPr>
        <w:t>2</w:t>
      </w:r>
      <w:r>
        <w:rPr>
          <w:rFonts w:hint="eastAsia" w:eastAsia="仿宋_GB2312"/>
          <w:color w:val="000000" w:themeColor="text1"/>
          <w:kern w:val="0"/>
          <w:sz w:val="30"/>
          <w:szCs w:val="32"/>
          <w:u w:val="single"/>
          <w14:textFill>
            <w14:solidFill>
              <w14:schemeClr w14:val="tx1"/>
            </w14:solidFill>
          </w14:textFill>
        </w:rPr>
        <w:t>日内测算其成本和造价费用变化报发包人成本管理审核。承包人在工作内容实施完毕后</w:t>
      </w:r>
      <w:r>
        <w:rPr>
          <w:rFonts w:eastAsia="仿宋_GB2312"/>
          <w:color w:val="000000" w:themeColor="text1"/>
          <w:kern w:val="0"/>
          <w:sz w:val="30"/>
          <w:szCs w:val="32"/>
          <w:u w:val="single"/>
          <w14:textFill>
            <w14:solidFill>
              <w14:schemeClr w14:val="tx1"/>
            </w14:solidFill>
          </w14:textFill>
        </w:rPr>
        <w:t>7</w:t>
      </w:r>
      <w:r>
        <w:rPr>
          <w:rFonts w:hint="eastAsia" w:eastAsia="仿宋_GB2312"/>
          <w:color w:val="000000" w:themeColor="text1"/>
          <w:kern w:val="0"/>
          <w:sz w:val="30"/>
          <w:szCs w:val="32"/>
          <w:u w:val="single"/>
          <w14:textFill>
            <w14:solidFill>
              <w14:schemeClr w14:val="tx1"/>
            </w14:solidFill>
          </w14:textFill>
        </w:rPr>
        <w:t>日内完成工程量签证和清单外价格审批。每月</w:t>
      </w:r>
      <w:r>
        <w:rPr>
          <w:rFonts w:eastAsia="仿宋_GB2312"/>
          <w:color w:val="000000" w:themeColor="text1"/>
          <w:kern w:val="0"/>
          <w:sz w:val="30"/>
          <w:szCs w:val="32"/>
          <w:u w:val="single"/>
          <w14:textFill>
            <w14:solidFill>
              <w14:schemeClr w14:val="tx1"/>
            </w14:solidFill>
          </w14:textFill>
        </w:rPr>
        <w:t>20</w:t>
      </w:r>
      <w:r>
        <w:rPr>
          <w:rFonts w:hint="eastAsia" w:eastAsia="仿宋_GB2312"/>
          <w:color w:val="000000" w:themeColor="text1"/>
          <w:kern w:val="0"/>
          <w:sz w:val="30"/>
          <w:szCs w:val="32"/>
          <w:u w:val="single"/>
          <w14:textFill>
            <w14:solidFill>
              <w14:schemeClr w14:val="tx1"/>
            </w14:solidFill>
          </w14:textFill>
        </w:rPr>
        <w:t>日承包人应当无遗漏的按发包人要求汇总报送其当月的设计变更、现场签证、价格审批，并进入当月形象进度款。承包人未按时限上报其当月已发生设计变更、现场签证增项的，视为承包人自愿放弃要求发包人支付该增项费用的权利，发包人亦不再受理上述事宜。</w:t>
      </w:r>
    </w:p>
    <w:p>
      <w:pPr>
        <w:adjustRightInd w:val="0"/>
        <w:spacing w:after="60" w:line="360" w:lineRule="atLeast"/>
        <w:ind w:left="63" w:leftChars="30" w:right="63" w:rightChars="30" w:firstLine="600" w:firstLineChars="200"/>
        <w:textAlignment w:val="baseline"/>
        <w:rPr>
          <w:rFonts w:eastAsia="仿宋_GB2312"/>
          <w:color w:val="000000" w:themeColor="text1"/>
          <w:kern w:val="0"/>
          <w:sz w:val="30"/>
          <w:szCs w:val="32"/>
          <w:u w:val="single"/>
          <w14:textFill>
            <w14:solidFill>
              <w14:schemeClr w14:val="tx1"/>
            </w14:solidFill>
          </w14:textFill>
        </w:rPr>
      </w:pPr>
      <w:r>
        <w:rPr>
          <w:rFonts w:hint="eastAsia" w:eastAsia="仿宋_GB2312"/>
          <w:color w:val="000000" w:themeColor="text1"/>
          <w:kern w:val="0"/>
          <w:sz w:val="30"/>
          <w:szCs w:val="32"/>
          <w:u w:val="single"/>
          <w14:textFill>
            <w14:solidFill>
              <w14:schemeClr w14:val="tx1"/>
            </w14:solidFill>
          </w14:textFill>
        </w:rPr>
        <w:t>工程量签证现场草签结束后3日内，施工单位汇总统计草签单中的工程量或发生的人工、机械设备台班数量，填写《现场签证单》。签证签批办理最长不超过28日。若超出28日，每超期一天施工单位承担签证单工程量5‰/天/项的折损，直至全部折损完毕。在竣工结算审计时，按正式签证日期与草签单日期的间隔日历天数予以扣除。</w:t>
      </w:r>
    </w:p>
    <w:p>
      <w:pPr>
        <w:pStyle w:val="8"/>
      </w:pPr>
      <w:r>
        <w:t xml:space="preserve">20. </w:t>
      </w:r>
      <w:r>
        <w:rPr>
          <w:rFonts w:hint="eastAsia"/>
        </w:rPr>
        <w:t>争议解决</w:t>
      </w:r>
    </w:p>
    <w:p>
      <w:pPr>
        <w:pStyle w:val="9"/>
      </w:pPr>
      <w:r>
        <w:t xml:space="preserve">20.3 </w:t>
      </w:r>
      <w:r>
        <w:rPr>
          <w:rFonts w:hint="eastAsia"/>
        </w:rPr>
        <w:t>争议评审</w:t>
      </w:r>
    </w:p>
    <w:p>
      <w:pPr>
        <w:spacing w:line="360" w:lineRule="auto"/>
        <w:ind w:firstLine="600" w:firstLineChars="200"/>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合同当事人是否同意将工程争议提交争议评审小组决定：</w:t>
      </w:r>
      <w:r>
        <w:rPr>
          <w:rFonts w:hint="eastAsia" w:eastAsia="仿宋_GB2312"/>
          <w:color w:val="000000" w:themeColor="text1"/>
          <w:sz w:val="30"/>
          <w:szCs w:val="32"/>
          <w:u w:val="single"/>
          <w14:textFill>
            <w14:solidFill>
              <w14:schemeClr w14:val="tx1"/>
            </w14:solidFill>
          </w14:textFill>
        </w:rPr>
        <w:t>不适用</w:t>
      </w: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 xml:space="preserve">  </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eastAsia="仿宋_GB2312"/>
          <w:color w:val="000000" w:themeColor="text1"/>
          <w:sz w:val="30"/>
          <w:szCs w:val="32"/>
          <w14:textFill>
            <w14:solidFill>
              <w14:schemeClr w14:val="tx1"/>
            </w14:solidFill>
          </w14:textFill>
        </w:rPr>
        <w:t xml:space="preserve">20.3.1 </w:t>
      </w:r>
      <w:r>
        <w:rPr>
          <w:rFonts w:hint="eastAsia" w:eastAsia="仿宋_GB2312"/>
          <w:color w:val="000000" w:themeColor="text1"/>
          <w:sz w:val="30"/>
          <w:szCs w:val="32"/>
          <w14:textFill>
            <w14:solidFill>
              <w14:schemeClr w14:val="tx1"/>
            </w14:solidFill>
          </w14:textFill>
        </w:rPr>
        <w:t>争议评审小组的确定</w:t>
      </w:r>
    </w:p>
    <w:p>
      <w:pPr>
        <w:spacing w:line="360" w:lineRule="auto"/>
        <w:ind w:firstLine="600" w:firstLineChars="200"/>
        <w:jc w:val="left"/>
        <w:rPr>
          <w:rFonts w:eastAsia="仿宋_GB2312"/>
          <w:color w:val="000000" w:themeColor="text1"/>
          <w:sz w:val="30"/>
          <w:szCs w:val="32"/>
          <w:u w:val="single"/>
          <w14:textFill>
            <w14:solidFill>
              <w14:schemeClr w14:val="tx1"/>
            </w14:solidFill>
          </w14:textFill>
        </w:rPr>
      </w:pPr>
      <w:r>
        <w:rPr>
          <w:rFonts w:hint="eastAsia" w:eastAsia="仿宋_GB2312"/>
          <w:color w:val="000000" w:themeColor="text1"/>
          <w:sz w:val="30"/>
          <w:szCs w:val="32"/>
          <w14:textFill>
            <w14:solidFill>
              <w14:schemeClr w14:val="tx1"/>
            </w14:solidFill>
          </w14:textFill>
        </w:rPr>
        <w:t>争议评审小组成员的确定：</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选定争议评审员的期限：</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争议评审小组成员的报酬承担方式：</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其他事项的约定：</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autoSpaceDE w:val="0"/>
        <w:autoSpaceDN w:val="0"/>
        <w:adjustRightInd w:val="0"/>
        <w:spacing w:line="360" w:lineRule="auto"/>
        <w:ind w:firstLine="600" w:firstLineChars="200"/>
        <w:jc w:val="left"/>
        <w:rPr>
          <w:rFonts w:eastAsia="仿宋_GB2312"/>
          <w:color w:val="000000" w:themeColor="text1"/>
          <w:kern w:val="0"/>
          <w:sz w:val="30"/>
          <w:szCs w:val="32"/>
          <w14:textFill>
            <w14:solidFill>
              <w14:schemeClr w14:val="tx1"/>
            </w14:solidFill>
          </w14:textFill>
        </w:rPr>
      </w:pPr>
      <w:r>
        <w:rPr>
          <w:rFonts w:eastAsia="仿宋_GB2312"/>
          <w:color w:val="000000" w:themeColor="text1"/>
          <w:kern w:val="0"/>
          <w:sz w:val="30"/>
          <w:szCs w:val="32"/>
          <w14:textFill>
            <w14:solidFill>
              <w14:schemeClr w14:val="tx1"/>
            </w14:solidFill>
          </w14:textFill>
        </w:rPr>
        <w:t xml:space="preserve">20.3.2 </w:t>
      </w:r>
      <w:r>
        <w:rPr>
          <w:rFonts w:hint="eastAsia" w:eastAsia="仿宋_GB2312"/>
          <w:color w:val="000000" w:themeColor="text1"/>
          <w:kern w:val="0"/>
          <w:sz w:val="30"/>
          <w:szCs w:val="32"/>
          <w14:textFill>
            <w14:solidFill>
              <w14:schemeClr w14:val="tx1"/>
            </w14:solidFill>
          </w14:textFill>
        </w:rPr>
        <w:t>争议评审小组的决定</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合同当事人关于本项的约定：</w:t>
      </w:r>
      <w:r>
        <w:rPr>
          <w:rFonts w:eastAsia="仿宋_GB2312"/>
          <w:color w:val="000000" w:themeColor="text1"/>
          <w:sz w:val="30"/>
          <w:szCs w:val="32"/>
          <w:u w:val="single"/>
          <w14:textFill>
            <w14:solidFill>
              <w14:schemeClr w14:val="tx1"/>
            </w14:solidFill>
          </w14:textFill>
        </w:rPr>
        <w:t xml:space="preserve">        </w:t>
      </w:r>
      <w:r>
        <w:rPr>
          <w:rFonts w:ascii="Arial" w:hAnsi="Arial" w:eastAsia="仿宋_GB2312" w:cs="Arial"/>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w:t>
      </w:r>
    </w:p>
    <w:p>
      <w:pPr>
        <w:pStyle w:val="9"/>
      </w:pPr>
      <w:r>
        <w:t>20.4</w:t>
      </w:r>
      <w:r>
        <w:rPr>
          <w:rFonts w:hint="eastAsia"/>
        </w:rPr>
        <w:t>仲裁或诉讼</w:t>
      </w:r>
    </w:p>
    <w:p>
      <w:pPr>
        <w:spacing w:after="156" w:line="360" w:lineRule="auto"/>
        <w:ind w:firstLine="600" w:firstLineChars="200"/>
        <w:rPr>
          <w:rFonts w:eastAsia="黑体"/>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因合同及合同有关事项发生的争议，按下列第</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2</w:t>
      </w:r>
      <w:r>
        <w:rPr>
          <w:rFonts w:hint="eastAsia" w:eastAsia="仿宋_GB2312"/>
          <w:color w:val="000000" w:themeColor="text1"/>
          <w:sz w:val="30"/>
          <w:szCs w:val="32"/>
          <w:u w:val="single"/>
          <w14:textFill>
            <w14:solidFill>
              <w14:schemeClr w14:val="tx1"/>
            </w14:solidFill>
          </w14:textFill>
        </w:rPr>
        <w:t>）</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种方式解决：</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）向</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仲裁委员会申请仲裁；</w:t>
      </w:r>
    </w:p>
    <w:p>
      <w:pPr>
        <w:spacing w:line="360" w:lineRule="auto"/>
        <w:ind w:firstLine="600" w:firstLineChars="200"/>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）向</w:t>
      </w:r>
      <w:r>
        <w:rPr>
          <w:rFonts w:eastAsia="仿宋_GB2312"/>
          <w:color w:val="000000" w:themeColor="text1"/>
          <w:sz w:val="30"/>
          <w:szCs w:val="32"/>
          <w:u w:val="single"/>
          <w14:textFill>
            <w14:solidFill>
              <w14:schemeClr w14:val="tx1"/>
            </w14:solidFill>
          </w14:textFill>
        </w:rPr>
        <w:t xml:space="preserve"> 建设</w:t>
      </w:r>
      <w:r>
        <w:rPr>
          <w:rFonts w:hint="eastAsia" w:eastAsia="仿宋_GB2312"/>
          <w:color w:val="000000" w:themeColor="text1"/>
          <w:sz w:val="30"/>
          <w:szCs w:val="32"/>
          <w:u w:val="single"/>
          <w14:textFill>
            <w14:solidFill>
              <w14:schemeClr w14:val="tx1"/>
            </w14:solidFill>
          </w14:textFill>
        </w:rPr>
        <w:t>工程所在地有管辖权的</w:t>
      </w:r>
      <w:r>
        <w:rPr>
          <w:rFonts w:eastAsia="仿宋_GB2312"/>
          <w:color w:val="000000" w:themeColor="text1"/>
          <w:sz w:val="30"/>
          <w:szCs w:val="32"/>
          <w:u w:val="single"/>
          <w14:textFill>
            <w14:solidFill>
              <w14:schemeClr w14:val="tx1"/>
            </w14:solidFill>
          </w14:textFill>
        </w:rPr>
        <w:t xml:space="preserve"> </w:t>
      </w:r>
      <w:r>
        <w:rPr>
          <w:rFonts w:hint="eastAsia" w:eastAsia="仿宋_GB2312"/>
          <w:color w:val="000000" w:themeColor="text1"/>
          <w:sz w:val="30"/>
          <w:szCs w:val="32"/>
          <w14:textFill>
            <w14:solidFill>
              <w14:schemeClr w14:val="tx1"/>
            </w14:solidFill>
          </w14:textFill>
        </w:rPr>
        <w:t>人民法院起诉。</w:t>
      </w:r>
    </w:p>
    <w:p>
      <w:pPr>
        <w:pStyle w:val="9"/>
      </w:pPr>
      <w:r>
        <w:t>20.6</w:t>
      </w:r>
      <w:r>
        <w:rPr>
          <w:rFonts w:hint="eastAsia"/>
        </w:rPr>
        <w:t>补充条款（说明：根据招标文件要求补充）</w:t>
      </w:r>
    </w:p>
    <w:p>
      <w:pPr>
        <w:pStyle w:val="67"/>
        <w:numPr>
          <w:ilvl w:val="0"/>
          <w:numId w:val="12"/>
        </w:numPr>
        <w:snapToGrid w:val="0"/>
        <w:spacing w:line="360" w:lineRule="auto"/>
        <w:ind w:left="0" w:firstLine="600"/>
        <w:jc w:val="left"/>
        <w:rPr>
          <w:rFonts w:hAnsi="仿宋" w:asciiTheme="minorEastAsia" w:eastAsiaTheme="minorEastAsia"/>
          <w:i/>
          <w:color w:val="000000" w:themeColor="text1"/>
          <w:sz w:val="30"/>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由发包人在工程款中代扣代缴或者由承包人直接支付。</w:t>
      </w:r>
    </w:p>
    <w:p>
      <w:pPr>
        <w:pStyle w:val="18"/>
        <w:numPr>
          <w:ilvl w:val="0"/>
          <w:numId w:val="12"/>
        </w:numPr>
        <w:ind w:left="0" w:firstLine="600" w:firstLineChars="200"/>
        <w:rPr>
          <w:rFonts w:hAnsi="仿宋" w:cs="仿宋" w:asciiTheme="minorEastAsia" w:eastAsiaTheme="minorEastAsia"/>
          <w:i/>
          <w:iCs/>
          <w:color w:val="000000" w:themeColor="text1"/>
          <w:sz w:val="30"/>
          <w:szCs w:val="32"/>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承包人必须</w:t>
      </w:r>
      <w:r>
        <w:rPr>
          <w:rFonts w:hint="eastAsia" w:hAnsi="仿宋" w:asciiTheme="minorEastAsia" w:eastAsiaTheme="minorEastAsia"/>
          <w:i/>
          <w:color w:val="000000" w:themeColor="text1"/>
          <w:sz w:val="30"/>
          <w14:textFill>
            <w14:solidFill>
              <w14:schemeClr w14:val="tx1"/>
            </w14:solidFill>
          </w14:textFill>
        </w:rPr>
        <w:t>落实</w:t>
      </w:r>
      <w:r>
        <w:rPr>
          <w:rFonts w:hint="eastAsia" w:hAnsi="仿宋" w:cs="仿宋" w:asciiTheme="minorEastAsia" w:eastAsiaTheme="minorEastAsia"/>
          <w:i/>
          <w:iCs/>
          <w:color w:val="000000" w:themeColor="text1"/>
          <w:sz w:val="30"/>
          <w:szCs w:val="32"/>
          <w14:textFill>
            <w14:solidFill>
              <w14:schemeClr w14:val="tx1"/>
            </w14:solidFill>
          </w14:textFill>
        </w:rPr>
        <w:t>建筑工程项目农民工实名制和工资专用账户管理制度以及最新的</w:t>
      </w:r>
      <w:r>
        <w:rPr>
          <w:rFonts w:hint="eastAsia" w:hAnsi="仿宋" w:asciiTheme="minorEastAsia" w:eastAsiaTheme="minorEastAsia"/>
          <w:i/>
          <w:color w:val="000000" w:themeColor="text1"/>
          <w:sz w:val="30"/>
          <w14:textFill>
            <w14:solidFill>
              <w14:schemeClr w14:val="tx1"/>
            </w14:solidFill>
          </w14:textFill>
        </w:rPr>
        <w:t>济南市建筑农民工工资保证金管理办法，</w:t>
      </w:r>
      <w:r>
        <w:rPr>
          <w:rFonts w:hint="eastAsia" w:hAnsi="仿宋" w:cs="仿宋" w:asciiTheme="minorEastAsia" w:eastAsiaTheme="minorEastAsia"/>
          <w:i/>
          <w:iCs/>
          <w:color w:val="000000" w:themeColor="text1"/>
          <w:sz w:val="30"/>
          <w:szCs w:val="32"/>
          <w14:textFill>
            <w14:solidFill>
              <w14:schemeClr w14:val="tx1"/>
            </w14:solidFill>
          </w14:textFill>
        </w:rPr>
        <w:t>农民工工资保证金由承包人按相关规定自行办理</w:t>
      </w:r>
      <w:r>
        <w:rPr>
          <w:rFonts w:hint="eastAsia" w:hAnsi="仿宋" w:asciiTheme="minorEastAsia" w:eastAsiaTheme="minorEastAsia"/>
          <w:i/>
          <w:color w:val="000000" w:themeColor="text1"/>
          <w:sz w:val="30"/>
          <w14:textFill>
            <w14:solidFill>
              <w14:schemeClr w14:val="tx1"/>
            </w14:solidFill>
          </w14:textFill>
        </w:rPr>
        <w:t>并配合发包</w:t>
      </w:r>
      <w:r>
        <w:rPr>
          <w:rFonts w:hint="eastAsia" w:hAnsi="仿宋" w:cs="仿宋" w:asciiTheme="minorEastAsia" w:eastAsiaTheme="minorEastAsia"/>
          <w:i/>
          <w:iCs/>
          <w:color w:val="000000" w:themeColor="text1"/>
          <w:sz w:val="30"/>
          <w:szCs w:val="32"/>
          <w14:textFill>
            <w14:solidFill>
              <w14:schemeClr w14:val="tx1"/>
            </w14:solidFill>
          </w14:textFill>
        </w:rPr>
        <w:t>人办理相关手续。</w:t>
      </w:r>
    </w:p>
    <w:p>
      <w:pPr>
        <w:pStyle w:val="18"/>
        <w:numPr>
          <w:ilvl w:val="0"/>
          <w:numId w:val="12"/>
        </w:numPr>
        <w:ind w:left="0" w:firstLine="600" w:firstLineChars="200"/>
        <w:rPr>
          <w:rFonts w:hAnsi="仿宋" w:cs="仿宋" w:asciiTheme="minorEastAsia" w:eastAsiaTheme="minorEastAsia"/>
          <w:i/>
          <w:iCs/>
          <w:color w:val="000000" w:themeColor="text1"/>
          <w:sz w:val="30"/>
          <w:szCs w:val="32"/>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本工程所用施工机械优先使用山东重工旗下产品，进入重汽所有厂区的物流车辆必须为重汽品牌，无条件严格遵守厂区人员车辆进出管理规定，否则造成的倒运费及工期等一切损失均有承包人承担。</w:t>
      </w:r>
    </w:p>
    <w:p>
      <w:pPr>
        <w:pStyle w:val="18"/>
        <w:numPr>
          <w:ilvl w:val="0"/>
          <w:numId w:val="12"/>
        </w:numPr>
        <w:ind w:left="0" w:firstLine="600" w:firstLineChars="200"/>
        <w:rPr>
          <w:rFonts w:hAnsi="仿宋" w:cs="仿宋" w:asciiTheme="minorEastAsia" w:eastAsiaTheme="minorEastAsia"/>
          <w:i/>
          <w:iCs/>
          <w:color w:val="000000" w:themeColor="text1"/>
          <w:sz w:val="30"/>
          <w:szCs w:val="32"/>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项目描述及工作内容相同的清单子项综合单价必须相同，若有不同报价，结算时招标人有权按照较低报价确定该子项的综合单价。</w:t>
      </w:r>
    </w:p>
    <w:p>
      <w:pPr>
        <w:pStyle w:val="18"/>
        <w:numPr>
          <w:ilvl w:val="0"/>
          <w:numId w:val="12"/>
        </w:numPr>
        <w:ind w:left="0" w:firstLine="600" w:firstLineChars="200"/>
        <w:rPr>
          <w:rFonts w:hAnsi="仿宋" w:cs="仿宋" w:asciiTheme="minorEastAsia" w:eastAsiaTheme="minorEastAsia"/>
          <w:i/>
          <w:iCs/>
          <w:color w:val="000000" w:themeColor="text1"/>
          <w:sz w:val="30"/>
          <w:szCs w:val="32"/>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除合同另有约定外，未经对方当事人书面同意，一方当事人不得将合同权利全部或部分转让给第三人，也不得将合同义务全部或部分转移给第三人。</w:t>
      </w:r>
    </w:p>
    <w:p>
      <w:pPr>
        <w:pStyle w:val="18"/>
        <w:numPr>
          <w:ilvl w:val="0"/>
          <w:numId w:val="12"/>
        </w:numPr>
        <w:ind w:left="0" w:firstLine="600" w:firstLineChars="200"/>
        <w:rPr>
          <w:rFonts w:hAnsi="仿宋" w:asciiTheme="minorEastAsia" w:eastAsiaTheme="minorEastAsia"/>
          <w:color w:val="000000" w:themeColor="text1"/>
          <w:sz w:val="30"/>
          <w14:textFill>
            <w14:solidFill>
              <w14:schemeClr w14:val="tx1"/>
            </w14:solidFill>
          </w14:textFill>
        </w:rPr>
      </w:pPr>
      <w:r>
        <w:rPr>
          <w:rFonts w:hint="eastAsia" w:hAnsi="仿宋" w:cs="仿宋" w:asciiTheme="minorEastAsia" w:eastAsiaTheme="minorEastAsia"/>
          <w:i/>
          <w:iCs/>
          <w:color w:val="000000" w:themeColor="text1"/>
          <w:sz w:val="30"/>
          <w:szCs w:val="32"/>
          <w14:textFill>
            <w14:solidFill>
              <w14:schemeClr w14:val="tx1"/>
            </w14:solidFill>
          </w14:textFill>
        </w:rPr>
        <w:t>本合同《专用合同条款》与《通用合同条款》有冲突的，执行《专用合同条款》；《专用合同条款》没有规定的，执行《通用合同条款》的规定。</w:t>
      </w:r>
    </w:p>
    <w:p>
      <w:pPr>
        <w:pStyle w:val="19"/>
      </w:pPr>
      <w:r>
        <w:br w:type="page"/>
      </w:r>
    </w:p>
    <w:p>
      <w:pPr>
        <w:pStyle w:val="7"/>
        <w:spacing w:before="156" w:after="156" w:line="360" w:lineRule="auto"/>
        <w:jc w:val="center"/>
        <w:rPr>
          <w:color w:val="000000" w:themeColor="text1"/>
          <w14:textFill>
            <w14:solidFill>
              <w14:schemeClr w14:val="tx1"/>
            </w14:solidFill>
          </w14:textFill>
        </w:rPr>
      </w:pPr>
      <w:bookmarkStart w:id="106" w:name="_Toc211261919"/>
      <w:r>
        <w:rPr>
          <w:rFonts w:hint="eastAsia"/>
          <w:color w:val="000000" w:themeColor="text1"/>
          <w14:textFill>
            <w14:solidFill>
              <w14:schemeClr w14:val="tx1"/>
            </w14:solidFill>
          </w14:textFill>
        </w:rPr>
        <w:t>附件</w:t>
      </w:r>
      <w:bookmarkEnd w:id="106"/>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协议书附件：</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1</w:t>
      </w:r>
      <w:r>
        <w:rPr>
          <w:rFonts w:hint="eastAsia" w:eastAsia="仿宋_GB2312"/>
          <w:color w:val="000000" w:themeColor="text1"/>
          <w:sz w:val="30"/>
          <w:szCs w:val="32"/>
          <w14:textFill>
            <w14:solidFill>
              <w14:schemeClr w14:val="tx1"/>
            </w14:solidFill>
          </w14:textFill>
        </w:rPr>
        <w:t>：承包人承揽工程项目一览表</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专用合同条款附件：</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2</w:t>
      </w:r>
      <w:r>
        <w:rPr>
          <w:rFonts w:hint="eastAsia" w:eastAsia="仿宋_GB2312"/>
          <w:color w:val="000000" w:themeColor="text1"/>
          <w:sz w:val="30"/>
          <w:szCs w:val="32"/>
          <w14:textFill>
            <w14:solidFill>
              <w14:schemeClr w14:val="tx1"/>
            </w14:solidFill>
          </w14:textFill>
        </w:rPr>
        <w:t>：工程施工界面划分表</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3</w:t>
      </w:r>
      <w:r>
        <w:rPr>
          <w:rFonts w:hint="eastAsia" w:eastAsia="仿宋_GB2312"/>
          <w:color w:val="000000" w:themeColor="text1"/>
          <w:sz w:val="30"/>
          <w:szCs w:val="32"/>
          <w14:textFill>
            <w14:solidFill>
              <w14:schemeClr w14:val="tx1"/>
            </w14:solidFill>
          </w14:textFill>
        </w:rPr>
        <w:t>：关键节点工期计划</w:t>
      </w:r>
    </w:p>
    <w:p>
      <w:pPr>
        <w:spacing w:line="360" w:lineRule="auto"/>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4</w:t>
      </w:r>
      <w:r>
        <w:rPr>
          <w:rFonts w:hint="eastAsia" w:eastAsia="仿宋_GB2312"/>
          <w:color w:val="000000" w:themeColor="text1"/>
          <w:sz w:val="30"/>
          <w:szCs w:val="32"/>
          <w14:textFill>
            <w14:solidFill>
              <w14:schemeClr w14:val="tx1"/>
            </w14:solidFill>
          </w14:textFill>
        </w:rPr>
        <w:t>：主要材料及设备品牌表</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5</w:t>
      </w:r>
      <w:r>
        <w:rPr>
          <w:rFonts w:hint="eastAsia" w:eastAsia="仿宋_GB2312"/>
          <w:color w:val="000000" w:themeColor="text1"/>
          <w:sz w:val="30"/>
          <w:szCs w:val="32"/>
          <w14:textFill>
            <w14:solidFill>
              <w14:schemeClr w14:val="tx1"/>
            </w14:solidFill>
          </w14:textFill>
        </w:rPr>
        <w:t>：工程质量保修书</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6</w:t>
      </w:r>
      <w:r>
        <w:rPr>
          <w:rFonts w:hint="eastAsia" w:eastAsia="仿宋_GB2312"/>
          <w:color w:val="000000" w:themeColor="text1"/>
          <w:sz w:val="30"/>
          <w:szCs w:val="32"/>
          <w14:textFill>
            <w14:solidFill>
              <w14:schemeClr w14:val="tx1"/>
            </w14:solidFill>
          </w14:textFill>
        </w:rPr>
        <w:t>：承包人主要施工管理人员表</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7</w:t>
      </w:r>
      <w:r>
        <w:rPr>
          <w:rFonts w:hint="eastAsia" w:eastAsia="仿宋_GB2312"/>
          <w:color w:val="000000" w:themeColor="text1"/>
          <w:sz w:val="30"/>
          <w:szCs w:val="32"/>
          <w14:textFill>
            <w14:solidFill>
              <w14:schemeClr w14:val="tx1"/>
            </w14:solidFill>
          </w14:textFill>
        </w:rPr>
        <w:t>：履约担保格式</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8</w:t>
      </w:r>
      <w:r>
        <w:rPr>
          <w:rFonts w:hint="eastAsia" w:eastAsia="仿宋_GB2312"/>
          <w:color w:val="000000" w:themeColor="text1"/>
          <w:sz w:val="30"/>
          <w:szCs w:val="32"/>
          <w14:textFill>
            <w14:solidFill>
              <w14:schemeClr w14:val="tx1"/>
            </w14:solidFill>
          </w14:textFill>
        </w:rPr>
        <w:t>：预付款担保格式</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w:t>
      </w:r>
      <w:r>
        <w:rPr>
          <w:rFonts w:eastAsia="仿宋_GB2312"/>
          <w:color w:val="000000" w:themeColor="text1"/>
          <w:sz w:val="30"/>
          <w:szCs w:val="32"/>
          <w14:textFill>
            <w14:solidFill>
              <w14:schemeClr w14:val="tx1"/>
            </w14:solidFill>
          </w14:textFill>
        </w:rPr>
        <w:t>9</w:t>
      </w:r>
      <w:r>
        <w:rPr>
          <w:rFonts w:hint="eastAsia" w:eastAsia="仿宋_GB2312"/>
          <w:color w:val="000000" w:themeColor="text1"/>
          <w:sz w:val="30"/>
          <w:szCs w:val="32"/>
          <w14:textFill>
            <w14:solidFill>
              <w14:schemeClr w14:val="tx1"/>
            </w14:solidFill>
          </w14:textFill>
        </w:rPr>
        <w:t>：暂估价一览表</w:t>
      </w:r>
    </w:p>
    <w:p>
      <w:pPr>
        <w:spacing w:line="360" w:lineRule="auto"/>
        <w:jc w:val="left"/>
        <w:rPr>
          <w:color w:val="000000" w:themeColor="text1"/>
          <w:sz w:val="30"/>
          <w14:textFill>
            <w14:solidFill>
              <w14:schemeClr w14:val="tx1"/>
            </w14:solidFill>
          </w14:textFill>
        </w:rPr>
      </w:pPr>
      <w:r>
        <w:rPr>
          <w:rFonts w:hint="eastAsia"/>
          <w:color w:val="000000" w:themeColor="text1"/>
          <w:sz w:val="30"/>
          <w14:textFill>
            <w14:solidFill>
              <w14:schemeClr w14:val="tx1"/>
            </w14:solidFill>
          </w14:textFill>
        </w:rPr>
        <w:t>附件</w:t>
      </w:r>
      <w:r>
        <w:rPr>
          <w:color w:val="000000" w:themeColor="text1"/>
          <w:sz w:val="30"/>
          <w14:textFill>
            <w14:solidFill>
              <w14:schemeClr w14:val="tx1"/>
            </w14:solidFill>
          </w14:textFill>
        </w:rPr>
        <w:t>10</w:t>
      </w:r>
      <w:r>
        <w:rPr>
          <w:rFonts w:hint="eastAsia"/>
          <w:color w:val="000000" w:themeColor="text1"/>
          <w:sz w:val="30"/>
          <w14:textFill>
            <w14:solidFill>
              <w14:schemeClr w14:val="tx1"/>
            </w14:solidFill>
          </w14:textFill>
        </w:rPr>
        <w:t>：相关方安全协议</w:t>
      </w:r>
    </w:p>
    <w:p>
      <w:pPr>
        <w:spacing w:line="360" w:lineRule="auto"/>
        <w:jc w:val="left"/>
        <w:rPr>
          <w:color w:val="000000" w:themeColor="text1"/>
          <w:sz w:val="30"/>
          <w14:textFill>
            <w14:solidFill>
              <w14:schemeClr w14:val="tx1"/>
            </w14:solidFill>
          </w14:textFill>
        </w:rPr>
      </w:pPr>
      <w:r>
        <w:rPr>
          <w:rFonts w:hint="eastAsia"/>
          <w:color w:val="000000" w:themeColor="text1"/>
          <w:sz w:val="30"/>
          <w14:textFill>
            <w14:solidFill>
              <w14:schemeClr w14:val="tx1"/>
            </w14:solidFill>
          </w14:textFill>
        </w:rPr>
        <w:t>附件</w:t>
      </w:r>
      <w:r>
        <w:rPr>
          <w:color w:val="000000" w:themeColor="text1"/>
          <w:sz w:val="30"/>
          <w14:textFill>
            <w14:solidFill>
              <w14:schemeClr w14:val="tx1"/>
            </w14:solidFill>
          </w14:textFill>
        </w:rPr>
        <w:t>11</w:t>
      </w:r>
      <w:r>
        <w:rPr>
          <w:rFonts w:hint="eastAsia"/>
          <w:color w:val="000000" w:themeColor="text1"/>
          <w:sz w:val="30"/>
          <w14:textFill>
            <w14:solidFill>
              <w14:schemeClr w14:val="tx1"/>
            </w14:solidFill>
          </w14:textFill>
        </w:rPr>
        <w:t>：施工现场管理协议</w:t>
      </w:r>
    </w:p>
    <w:p>
      <w:pPr>
        <w:spacing w:line="360" w:lineRule="auto"/>
        <w:jc w:val="left"/>
        <w:rPr>
          <w:color w:val="000000" w:themeColor="text1"/>
          <w:sz w:val="30"/>
          <w14:textFill>
            <w14:solidFill>
              <w14:schemeClr w14:val="tx1"/>
            </w14:solidFill>
          </w14:textFill>
        </w:rPr>
      </w:pPr>
      <w:r>
        <w:rPr>
          <w:rFonts w:hint="eastAsia"/>
          <w:color w:val="000000" w:themeColor="text1"/>
          <w:sz w:val="30"/>
          <w14:textFill>
            <w14:solidFill>
              <w14:schemeClr w14:val="tx1"/>
            </w14:solidFill>
          </w14:textFill>
        </w:rPr>
        <w:t>附件</w:t>
      </w:r>
      <w:r>
        <w:rPr>
          <w:color w:val="000000" w:themeColor="text1"/>
          <w:sz w:val="30"/>
          <w14:textFill>
            <w14:solidFill>
              <w14:schemeClr w14:val="tx1"/>
            </w14:solidFill>
          </w14:textFill>
        </w:rPr>
        <w:t>12</w:t>
      </w:r>
      <w:r>
        <w:rPr>
          <w:rFonts w:hint="eastAsia"/>
          <w:color w:val="000000" w:themeColor="text1"/>
          <w:sz w:val="30"/>
          <w14:textFill>
            <w14:solidFill>
              <w14:schemeClr w14:val="tx1"/>
            </w14:solidFill>
          </w14:textFill>
        </w:rPr>
        <w:t>：项目考核</w:t>
      </w:r>
      <w:r>
        <w:rPr>
          <w:rFonts w:hint="eastAsia" w:eastAsia="仿宋_GB2312"/>
          <w:color w:val="000000" w:themeColor="text1"/>
          <w:sz w:val="30"/>
          <w:szCs w:val="32"/>
          <w14:textFill>
            <w14:solidFill>
              <w14:schemeClr w14:val="tx1"/>
            </w14:solidFill>
          </w14:textFill>
        </w:rPr>
        <w:t>管理（</w:t>
      </w:r>
      <w:r>
        <w:rPr>
          <w:rFonts w:hint="eastAsia"/>
          <w:color w:val="000000" w:themeColor="text1"/>
          <w:sz w:val="30"/>
          <w14:textFill>
            <w14:solidFill>
              <w14:schemeClr w14:val="tx1"/>
            </w14:solidFill>
          </w14:textFill>
        </w:rPr>
        <w:t>细则</w:t>
      </w:r>
      <w:r>
        <w:rPr>
          <w:rFonts w:hint="eastAsia" w:eastAsia="仿宋_GB2312"/>
          <w:color w:val="000000" w:themeColor="text1"/>
          <w:sz w:val="30"/>
          <w:szCs w:val="32"/>
          <w14:textFill>
            <w14:solidFill>
              <w14:schemeClr w14:val="tx1"/>
            </w14:solidFill>
          </w14:textFill>
        </w:rPr>
        <w:t>）协议</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附件13：廉洁诚信协议</w:t>
      </w:r>
    </w:p>
    <w:p>
      <w:pPr>
        <w:spacing w:line="360" w:lineRule="auto"/>
        <w:jc w:val="left"/>
        <w:rPr>
          <w:rFonts w:eastAsia="仿宋_GB2312"/>
          <w:color w:val="000000" w:themeColor="text1"/>
          <w:sz w:val="30"/>
          <w:szCs w:val="32"/>
          <w14:textFill>
            <w14:solidFill>
              <w14:schemeClr w14:val="tx1"/>
            </w14:solidFill>
          </w14:textFill>
        </w:rPr>
      </w:pPr>
      <w:r>
        <w:rPr>
          <w:rFonts w:hint="eastAsia" w:eastAsia="仿宋_GB2312"/>
          <w:color w:val="000000" w:themeColor="text1"/>
          <w:sz w:val="30"/>
          <w:szCs w:val="32"/>
          <w14:textFill>
            <w14:solidFill>
              <w14:schemeClr w14:val="tx1"/>
            </w14:solidFill>
          </w14:textFill>
        </w:rPr>
        <w:t>附件14：保密协议</w:t>
      </w:r>
    </w:p>
    <w:p>
      <w:pPr>
        <w:spacing w:line="360" w:lineRule="auto"/>
        <w:jc w:val="left"/>
        <w:rPr>
          <w:rFonts w:eastAsia="仿宋_GB2312"/>
          <w:color w:val="000000" w:themeColor="text1"/>
          <w:sz w:val="30"/>
          <w:szCs w:val="32"/>
          <w14:textFill>
            <w14:solidFill>
              <w14:schemeClr w14:val="tx1"/>
            </w14:solidFill>
          </w14:textFill>
        </w:rPr>
        <w:sectPr>
          <w:footerReference r:id="rId12" w:type="first"/>
          <w:pgSz w:w="11906" w:h="16838"/>
          <w:pgMar w:top="1418" w:right="1417" w:bottom="1418" w:left="1417" w:header="851" w:footer="992" w:gutter="0"/>
          <w:cols w:space="720" w:num="1"/>
          <w:titlePg/>
          <w:docGrid w:type="lines" w:linePitch="312" w:charSpace="0"/>
        </w:sectPr>
      </w:pPr>
      <w:r>
        <w:rPr>
          <w:rFonts w:hint="eastAsia" w:eastAsia="仿宋_GB2312"/>
          <w:color w:val="000000" w:themeColor="text1"/>
          <w:sz w:val="30"/>
          <w:szCs w:val="32"/>
          <w14:textFill>
            <w14:solidFill>
              <w14:schemeClr w14:val="tx1"/>
            </w14:solidFill>
          </w14:textFill>
        </w:rPr>
        <w:t>附件1</w:t>
      </w:r>
      <w:r>
        <w:rPr>
          <w:rFonts w:eastAsia="仿宋_GB2312"/>
          <w:color w:val="000000" w:themeColor="text1"/>
          <w:sz w:val="30"/>
          <w:szCs w:val="32"/>
          <w14:textFill>
            <w14:solidFill>
              <w14:schemeClr w14:val="tx1"/>
            </w14:solidFill>
          </w14:textFill>
        </w:rPr>
        <w:t>5</w:t>
      </w:r>
      <w:r>
        <w:rPr>
          <w:rFonts w:hint="eastAsia" w:eastAsia="仿宋_GB2312"/>
          <w:color w:val="000000" w:themeColor="text1"/>
          <w:sz w:val="30"/>
          <w:szCs w:val="32"/>
          <w14:textFill>
            <w14:solidFill>
              <w14:schemeClr w14:val="tx1"/>
            </w14:solidFill>
          </w14:textFill>
        </w:rPr>
        <w:t>：工程量清单</w:t>
      </w:r>
    </w:p>
    <w:p>
      <w:pPr>
        <w:spacing w:before="156" w:beforeLines="50" w:after="156" w:afterLines="50" w:line="440" w:lineRule="exact"/>
        <w:jc w:val="left"/>
        <w:outlineLvl w:val="3"/>
        <w:rPr>
          <w:rFonts w:ascii="仿宋_GB2312" w:eastAsia="仿宋_GB2312"/>
          <w:color w:val="000000" w:themeColor="text1"/>
          <w:sz w:val="30"/>
          <w:szCs w:val="30"/>
          <w14:textFill>
            <w14:solidFill>
              <w14:schemeClr w14:val="tx1"/>
            </w14:solidFill>
          </w14:textFill>
        </w:rPr>
      </w:pPr>
      <w:r>
        <w:rPr>
          <w:rFonts w:hint="eastAsia" w:ascii="仿宋_GB2312" w:eastAsia="仿宋_GB2312"/>
          <w:color w:val="000000" w:themeColor="text1"/>
          <w:sz w:val="30"/>
          <w:szCs w:val="30"/>
          <w14:textFill>
            <w14:solidFill>
              <w14:schemeClr w14:val="tx1"/>
            </w14:solidFill>
          </w14:textFill>
        </w:rPr>
        <w:t>附件1：</w:t>
      </w:r>
    </w:p>
    <w:p>
      <w:pPr>
        <w:spacing w:before="120" w:after="120"/>
        <w:jc w:val="center"/>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承包人承揽工程项目一览表</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w:t>
      </w:r>
    </w:p>
    <w:p>
      <w:pPr>
        <w:spacing w:before="156" w:beforeLines="50" w:after="156" w:afterLines="50" w:line="440" w:lineRule="exact"/>
        <w:rPr>
          <w:color w:val="000000" w:themeColor="text1"/>
          <w:sz w:val="32"/>
          <w14:textFill>
            <w14:solidFill>
              <w14:schemeClr w14:val="tx1"/>
            </w14:solidFill>
          </w14:textFill>
        </w:rPr>
      </w:pPr>
    </w:p>
    <w:p>
      <w:pPr>
        <w:spacing w:before="156" w:beforeLines="50" w:after="156" w:afterLines="50" w:line="440" w:lineRule="exact"/>
        <w:rPr>
          <w:rFonts w:ascii="仿宋_GB2312" w:eastAsia="仿宋_GB2312"/>
          <w:color w:val="000000" w:themeColor="text1"/>
          <w:sz w:val="30"/>
          <w:szCs w:val="30"/>
          <w14:textFill>
            <w14:solidFill>
              <w14:schemeClr w14:val="tx1"/>
            </w14:solidFill>
          </w14:textFill>
        </w:rPr>
      </w:pPr>
      <w:r>
        <w:rPr>
          <w:rFonts w:hint="eastAsia" w:ascii="仿宋_GB2312" w:eastAsia="仿宋_GB2312"/>
          <w:color w:val="000000" w:themeColor="text1"/>
          <w:sz w:val="30"/>
          <w:szCs w:val="30"/>
          <w14:textFill>
            <w14:solidFill>
              <w14:schemeClr w14:val="tx1"/>
            </w14:solidFill>
          </w14:textFill>
        </w:rPr>
        <w:t>附件2：</w:t>
      </w:r>
    </w:p>
    <w:p>
      <w:pPr>
        <w:spacing w:before="120" w:after="120"/>
        <w:jc w:val="center"/>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工程施工界面划分表</w:t>
      </w:r>
    </w:p>
    <w:p>
      <w:pPr>
        <w:spacing w:before="120" w:after="120"/>
        <w:jc w:val="center"/>
        <w:rPr>
          <w:rFonts w:ascii="仿宋" w:hAnsi="仿宋"/>
          <w:color w:val="000000" w:themeColor="text1"/>
          <w:sz w:val="32"/>
          <w14:textFill>
            <w14:solidFill>
              <w14:schemeClr w14:val="tx1"/>
            </w14:solidFill>
          </w14:textFill>
        </w:rPr>
      </w:pPr>
      <w:r>
        <w:rPr>
          <w:rFonts w:ascii="宋体" w:hAnsi="宋体" w:cs="宋体"/>
          <w:color w:val="000000" w:themeColor="text1"/>
          <w:sz w:val="24"/>
          <w14:textFill>
            <w14:solidFill>
              <w14:schemeClr w14:val="tx1"/>
            </w14:solidFill>
          </w14:textFill>
        </w:rPr>
        <w:t>/</w:t>
      </w:r>
    </w:p>
    <w:p>
      <w:pPr>
        <w:pStyle w:val="50"/>
        <w:spacing w:before="120" w:after="120"/>
        <w:rPr>
          <w:rFonts w:hint="default" w:ascii="仿宋" w:hAnsi="仿宋" w:eastAsia="仿宋" w:cs="仿宋"/>
          <w:color w:val="000000" w:themeColor="text1"/>
          <w14:textFill>
            <w14:solidFill>
              <w14:schemeClr w14:val="tx1"/>
            </w14:solidFill>
          </w14:textFill>
        </w:rPr>
      </w:pPr>
    </w:p>
    <w:p>
      <w:pPr>
        <w:pStyle w:val="50"/>
        <w:spacing w:before="120" w:after="120"/>
        <w:rPr>
          <w:rFonts w:hint="default" w:ascii="仿宋" w:hAnsi="仿宋" w:eastAsia="仿宋" w:cs="仿宋"/>
          <w:color w:val="000000" w:themeColor="text1"/>
          <w14:textFill>
            <w14:solidFill>
              <w14:schemeClr w14:val="tx1"/>
            </w14:solidFill>
          </w14:textFill>
        </w:rPr>
      </w:pP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p>
    <w:p>
      <w:pPr>
        <w:spacing w:before="120" w:after="120"/>
        <w:jc w:val="center"/>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关键节点工期计划</w:t>
      </w:r>
    </w:p>
    <w:p>
      <w:pPr>
        <w:spacing w:before="156" w:beforeLines="50" w:after="156" w:afterLines="50" w:line="440" w:lineRule="exact"/>
        <w:jc w:val="center"/>
        <w:rPr>
          <w:rFonts w:eastAsia="黑体"/>
          <w:color w:val="000000" w:themeColor="text1"/>
          <w:sz w:val="30"/>
          <w:szCs w:val="30"/>
          <w14:textFill>
            <w14:solidFill>
              <w14:schemeClr w14:val="tx1"/>
            </w14:solidFill>
          </w14:textFill>
        </w:rPr>
      </w:pPr>
      <w:r>
        <w:rPr>
          <w:rFonts w:hint="eastAsia"/>
          <w:color w:val="000000" w:themeColor="text1"/>
          <w:sz w:val="32"/>
          <w14:textFill>
            <w14:solidFill>
              <w14:schemeClr w14:val="tx1"/>
            </w14:solidFill>
          </w14:textFill>
        </w:rPr>
        <w:t>/</w:t>
      </w:r>
    </w:p>
    <w:p>
      <w:pPr>
        <w:spacing w:before="156" w:beforeLines="50" w:after="156" w:afterLines="50" w:line="440" w:lineRule="exact"/>
        <w:jc w:val="center"/>
        <w:rPr>
          <w:rFonts w:eastAsia="黑体"/>
          <w:color w:val="000000" w:themeColor="text1"/>
          <w:sz w:val="30"/>
          <w:szCs w:val="30"/>
          <w14:textFill>
            <w14:solidFill>
              <w14:schemeClr w14:val="tx1"/>
            </w14:solidFill>
          </w14:textFill>
        </w:rPr>
      </w:pPr>
      <w:r>
        <w:rPr>
          <w:rFonts w:eastAsia="黑体"/>
          <w:color w:val="000000" w:themeColor="text1"/>
          <w:sz w:val="30"/>
          <w:szCs w:val="30"/>
          <w14:textFill>
            <w14:solidFill>
              <w14:schemeClr w14:val="tx1"/>
            </w14:solidFill>
          </w14:textFill>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4</w:t>
      </w:r>
      <w:r>
        <w:rPr>
          <w:rFonts w:hint="eastAsia" w:ascii="仿宋_GB2312" w:eastAsia="仿宋_GB2312"/>
          <w:color w:val="000000" w:themeColor="text1"/>
          <w:sz w:val="30"/>
          <w:szCs w:val="30"/>
          <w14:textFill>
            <w14:solidFill>
              <w14:schemeClr w14:val="tx1"/>
            </w14:solidFill>
          </w14:textFill>
        </w:rPr>
        <w:t>：</w:t>
      </w:r>
    </w:p>
    <w:p>
      <w:pPr>
        <w:spacing w:before="120" w:after="120"/>
        <w:jc w:val="center"/>
        <w:rPr>
          <w:rFonts w:ascii="黑体" w:hAnsi="黑体" w:eastAsia="黑体" w:cs="黑体"/>
          <w:color w:val="000000" w:themeColor="text1"/>
          <w:sz w:val="32"/>
          <w:szCs w:val="32"/>
          <w14:textFill>
            <w14:solidFill>
              <w14:schemeClr w14:val="tx1"/>
            </w14:solidFill>
          </w14:textFill>
        </w:rPr>
      </w:pPr>
      <w:r>
        <w:rPr>
          <w:rFonts w:hint="eastAsia" w:ascii="黑体" w:hAnsi="黑体" w:eastAsia="黑体" w:cs="黑体"/>
          <w:color w:val="000000" w:themeColor="text1"/>
          <w:sz w:val="32"/>
          <w:szCs w:val="32"/>
          <w14:textFill>
            <w14:solidFill>
              <w14:schemeClr w14:val="tx1"/>
            </w14:solidFill>
          </w14:textFill>
        </w:rPr>
        <w:t>主要材料及设备品牌表</w:t>
      </w:r>
    </w:p>
    <w:p>
      <w:pPr>
        <w:spacing w:before="156" w:beforeLines="50" w:after="156" w:afterLines="50" w:line="440" w:lineRule="exact"/>
        <w:jc w:val="center"/>
        <w:rPr>
          <w:color w:val="000000" w:themeColor="text1"/>
          <w:sz w:val="30"/>
          <w14:textFill>
            <w14:solidFill>
              <w14:schemeClr w14:val="tx1"/>
            </w14:solidFill>
          </w14:textFill>
        </w:rPr>
      </w:pPr>
      <w:r>
        <w:rPr>
          <w:rFonts w:hint="eastAsia"/>
          <w:color w:val="000000" w:themeColor="text1"/>
          <w:sz w:val="30"/>
          <w14:textFill>
            <w14:solidFill>
              <w14:schemeClr w14:val="tx1"/>
            </w14:solidFill>
          </w14:textFill>
        </w:rPr>
        <w:t>甲限乙购材料品牌表</w:t>
      </w:r>
      <w:r>
        <w:rPr>
          <w:rFonts w:hint="eastAsia"/>
          <w:i/>
          <w:iCs/>
          <w:color w:val="000000" w:themeColor="text1"/>
          <w:sz w:val="30"/>
          <w14:textFill>
            <w14:solidFill>
              <w14:schemeClr w14:val="tx1"/>
            </w14:solidFill>
          </w14:textFill>
        </w:rPr>
        <w:t>（详见招标文件第七章</w:t>
      </w:r>
      <w:r>
        <w:rPr>
          <w:i/>
          <w:iCs/>
          <w:color w:val="000000" w:themeColor="text1"/>
          <w:sz w:val="30"/>
          <w14:textFill>
            <w14:solidFill>
              <w14:schemeClr w14:val="tx1"/>
            </w14:solidFill>
          </w14:textFill>
        </w:rPr>
        <w:t xml:space="preserve"> </w:t>
      </w:r>
      <w:r>
        <w:rPr>
          <w:rFonts w:hint="eastAsia"/>
          <w:i/>
          <w:iCs/>
          <w:color w:val="000000" w:themeColor="text1"/>
          <w:sz w:val="30"/>
          <w14:textFill>
            <w14:solidFill>
              <w14:schemeClr w14:val="tx1"/>
            </w14:solidFill>
          </w14:textFill>
        </w:rPr>
        <w:t>技术标准和要求）</w:t>
      </w:r>
    </w:p>
    <w:tbl>
      <w:tblPr>
        <w:tblStyle w:val="37"/>
        <w:tblW w:w="5000" w:type="pct"/>
        <w:tblInd w:w="0" w:type="dxa"/>
        <w:tblLayout w:type="autofit"/>
        <w:tblCellMar>
          <w:top w:w="0" w:type="dxa"/>
          <w:left w:w="0" w:type="dxa"/>
          <w:bottom w:w="0" w:type="dxa"/>
          <w:right w:w="0" w:type="dxa"/>
        </w:tblCellMar>
      </w:tblPr>
      <w:tblGrid>
        <w:gridCol w:w="626"/>
        <w:gridCol w:w="2203"/>
        <w:gridCol w:w="3961"/>
        <w:gridCol w:w="2043"/>
        <w:gridCol w:w="17"/>
      </w:tblGrid>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lang w:bidi="ar"/>
                <w14:textFill>
                  <w14:solidFill>
                    <w14:schemeClr w14:val="tx1"/>
                  </w14:solidFill>
                </w14:textFill>
              </w:rPr>
              <w:t>序号</w:t>
            </w:r>
          </w:p>
        </w:tc>
        <w:tc>
          <w:tcPr>
            <w:tcW w:w="124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lang w:bidi="ar"/>
                <w14:textFill>
                  <w14:solidFill>
                    <w14:schemeClr w14:val="tx1"/>
                  </w14:solidFill>
                </w14:textFill>
              </w:rPr>
              <w:t>主材及设备名称</w:t>
            </w:r>
          </w:p>
        </w:tc>
        <w:tc>
          <w:tcPr>
            <w:tcW w:w="223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lang w:bidi="ar"/>
                <w14:textFill>
                  <w14:solidFill>
                    <w14:schemeClr w14:val="tx1"/>
                  </w14:solidFill>
                </w14:textFill>
              </w:rPr>
              <w:t>甲限品牌范围</w:t>
            </w:r>
          </w:p>
        </w:tc>
        <w:tc>
          <w:tcPr>
            <w:tcW w:w="1156" w:type="pct"/>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14:textFill>
                  <w14:solidFill>
                    <w14:schemeClr w14:val="tx1"/>
                  </w14:solidFill>
                </w14:textFill>
              </w:rPr>
            </w:pPr>
            <w:r>
              <w:rPr>
                <w:rFonts w:hint="eastAsia" w:ascii="仿宋" w:hAnsi="仿宋" w:eastAsia="仿宋" w:cs="仿宋"/>
                <w:b/>
                <w:color w:val="000000" w:themeColor="text1"/>
                <w:sz w:val="28"/>
                <w:szCs w:val="28"/>
                <w:lang w:bidi="ar"/>
                <w14:textFill>
                  <w14:solidFill>
                    <w14:schemeClr w14:val="tx1"/>
                  </w14:solidFill>
                </w14:textFill>
              </w:rPr>
              <w:t>乙购选定品牌</w:t>
            </w: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lang w:bidi="ar"/>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p>
        </w:tc>
        <w:tc>
          <w:tcPr>
            <w:tcW w:w="124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p>
        </w:tc>
        <w:tc>
          <w:tcPr>
            <w:tcW w:w="2239"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8"/>
                <w:szCs w:val="28"/>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p>
        </w:tc>
        <w:tc>
          <w:tcPr>
            <w:tcW w:w="1156" w:type="pct"/>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lang w:bidi="ar"/>
                <w14:textFill>
                  <w14:solidFill>
                    <w14:schemeClr w14:val="tx1"/>
                  </w14:solidFill>
                </w14:textFill>
              </w:rPr>
            </w:pPr>
            <w:r>
              <w:rPr>
                <w:rFonts w:hint="eastAsia" w:ascii="仿宋" w:hAnsi="仿宋" w:eastAsia="仿宋" w:cs="仿宋"/>
                <w:color w:val="000000" w:themeColor="text1"/>
                <w:sz w:val="28"/>
                <w:szCs w:val="28"/>
                <w14:textFill>
                  <w14:solidFill>
                    <w14:schemeClr w14:val="tx1"/>
                  </w14:solidFill>
                </w14:textFill>
              </w:rPr>
              <w:t>…</w:t>
            </w: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246"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2239"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11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734" w:type="dxa"/>
            <w:tcBorders>
              <w:top w:val="single" w:color="000000" w:sz="4" w:space="0"/>
              <w:left w:val="single" w:color="000000" w:sz="4" w:space="0"/>
              <w:bottom w:val="single" w:color="000000" w:sz="4" w:space="0"/>
              <w:right w:val="single" w:color="000000" w:sz="4" w:space="0"/>
            </w:tcBorders>
          </w:tcPr>
          <w:p>
            <w:pPr>
              <w:jc w:val="center"/>
              <w:rPr>
                <w:rFonts w:ascii="仿宋" w:hAnsi="仿宋" w:eastAsia="仿宋" w:cs="仿宋"/>
                <w:b/>
                <w:color w:val="000000" w:themeColor="text1"/>
                <w:sz w:val="20"/>
                <w:szCs w:val="20"/>
                <w14:textFill>
                  <w14:solidFill>
                    <w14:schemeClr w14:val="tx1"/>
                  </w14:solidFill>
                </w14:textFill>
              </w:rPr>
            </w:pP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246"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223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11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73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b/>
                <w:color w:val="000000" w:themeColor="text1"/>
                <w:sz w:val="28"/>
                <w:szCs w:val="28"/>
                <w14:textFill>
                  <w14:solidFill>
                    <w14:schemeClr w14:val="tx1"/>
                  </w14:solidFill>
                </w14:textFill>
              </w:rPr>
            </w:pP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246"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223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11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73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b/>
                <w:color w:val="000000" w:themeColor="text1"/>
                <w:sz w:val="28"/>
                <w:szCs w:val="28"/>
                <w14:textFill>
                  <w14:solidFill>
                    <w14:schemeClr w14:val="tx1"/>
                  </w14:solidFill>
                </w14:textFill>
              </w:rPr>
            </w:pP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246"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2239"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1156" w:type="pct"/>
            <w:gridSpan w:val="2"/>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8"/>
                <w:szCs w:val="28"/>
                <w:lang w:bidi="ar"/>
                <w14:textFill>
                  <w14:solidFill>
                    <w14:schemeClr w14:val="tx1"/>
                  </w14:solidFill>
                </w14:textFill>
              </w:rPr>
            </w:pPr>
          </w:p>
        </w:tc>
      </w:tr>
      <w:tr>
        <w:tblPrEx>
          <w:tblCellMar>
            <w:top w:w="0" w:type="dxa"/>
            <w:left w:w="0" w:type="dxa"/>
            <w:bottom w:w="0" w:type="dxa"/>
            <w:right w:w="0" w:type="dxa"/>
          </w:tblCellMar>
        </w:tblPrEx>
        <w:trPr>
          <w:trHeight w:val="600" w:hRule="atLeast"/>
        </w:trPr>
        <w:tc>
          <w:tcPr>
            <w:tcW w:w="3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24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2239"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color w:val="000000" w:themeColor="text1"/>
                <w:sz w:val="28"/>
                <w14:textFill>
                  <w14:solidFill>
                    <w14:schemeClr w14:val="tx1"/>
                  </w14:solidFill>
                </w14:textFill>
              </w:rPr>
            </w:pPr>
          </w:p>
        </w:tc>
        <w:tc>
          <w:tcPr>
            <w:tcW w:w="1156"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b/>
                <w:color w:val="000000" w:themeColor="text1"/>
                <w:sz w:val="28"/>
                <w14:textFill>
                  <w14:solidFill>
                    <w14:schemeClr w14:val="tx1"/>
                  </w14:solidFill>
                </w14:textFill>
              </w:rPr>
            </w:pPr>
          </w:p>
        </w:tc>
        <w:tc>
          <w:tcPr>
            <w:tcW w:w="1734" w:type="dxa"/>
            <w:tcBorders>
              <w:top w:val="single" w:color="000000" w:sz="4" w:space="0"/>
              <w:left w:val="single" w:color="000000" w:sz="4" w:space="0"/>
              <w:bottom w:val="single" w:color="000000" w:sz="4" w:space="0"/>
              <w:right w:val="single" w:color="000000" w:sz="4" w:space="0"/>
            </w:tcBorders>
          </w:tcPr>
          <w:p>
            <w:pPr>
              <w:rPr>
                <w:rFonts w:ascii="仿宋" w:hAnsi="仿宋" w:eastAsia="仿宋" w:cs="仿宋"/>
                <w:b/>
                <w:color w:val="000000" w:themeColor="text1"/>
                <w:sz w:val="28"/>
                <w:szCs w:val="28"/>
                <w14:textFill>
                  <w14:solidFill>
                    <w14:schemeClr w14:val="tx1"/>
                  </w14:solidFill>
                </w14:textFill>
              </w:rPr>
            </w:pPr>
          </w:p>
        </w:tc>
      </w:tr>
    </w:tbl>
    <w:p>
      <w:pPr>
        <w:jc w:val="center"/>
        <w:rPr>
          <w:rFonts w:ascii="仿宋" w:hAnsi="仿宋" w:eastAsia="仿宋" w:cs="仿宋"/>
          <w:color w:val="000000" w:themeColor="text1"/>
          <w:sz w:val="32"/>
          <w:szCs w:val="32"/>
          <w14:textFill>
            <w14:solidFill>
              <w14:schemeClr w14:val="tx1"/>
            </w14:solidFill>
          </w14:textFill>
        </w:rPr>
      </w:pPr>
    </w:p>
    <w:p>
      <w:pPr>
        <w:pStyle w:val="19"/>
      </w:pPr>
    </w:p>
    <w:p>
      <w:pPr>
        <w:jc w:val="center"/>
        <w:rPr>
          <w:rFonts w:ascii="仿宋" w:hAnsi="仿宋" w:eastAsia="仿宋" w:cs="仿宋"/>
          <w:color w:val="000000" w:themeColor="text1"/>
          <w:sz w:val="32"/>
          <w:szCs w:val="32"/>
          <w14:textFill>
            <w14:solidFill>
              <w14:schemeClr w14:val="tx1"/>
            </w14:solidFill>
          </w14:textFill>
        </w:rPr>
      </w:pPr>
      <w:r>
        <w:rPr>
          <w:rFonts w:ascii="仿宋" w:hAnsi="仿宋" w:eastAsia="仿宋" w:cs="仿宋"/>
          <w:color w:val="000000" w:themeColor="text1"/>
          <w:sz w:val="32"/>
          <w:szCs w:val="32"/>
          <w14:textFill>
            <w14:solidFill>
              <w14:schemeClr w14:val="tx1"/>
            </w14:solidFill>
          </w14:textFill>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5</w:t>
      </w:r>
      <w:r>
        <w:rPr>
          <w:rFonts w:hint="eastAsia" w:ascii="仿宋_GB2312"/>
          <w:color w:val="000000" w:themeColor="text1"/>
          <w:sz w:val="30"/>
          <w14:textFill>
            <w14:solidFill>
              <w14:schemeClr w14:val="tx1"/>
            </w14:solidFill>
          </w14:textFill>
        </w:rPr>
        <w:t>：</w:t>
      </w:r>
      <w:r>
        <w:rPr>
          <w:rFonts w:ascii="仿宋_GB2312"/>
          <w:color w:val="000000" w:themeColor="text1"/>
          <w:sz w:val="30"/>
          <w14:textFill>
            <w14:solidFill>
              <w14:schemeClr w14:val="tx1"/>
            </w14:solidFill>
          </w14:textFill>
        </w:rPr>
        <w:t xml:space="preserve">    </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工程质量保修书</w:t>
      </w:r>
    </w:p>
    <w:p>
      <w:pPr>
        <w:spacing w:line="440" w:lineRule="exact"/>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发包人（全称）：</w:t>
      </w:r>
      <w:r>
        <w:rPr>
          <w:rFonts w:hint="eastAsia" w:eastAsia="仿宋_GB2312"/>
          <w:color w:val="000000" w:themeColor="text1"/>
          <w:sz w:val="30"/>
          <w:szCs w:val="30"/>
          <w:u w:val="single"/>
          <w14:textFill>
            <w14:solidFill>
              <w14:schemeClr w14:val="tx1"/>
            </w14:solidFill>
          </w14:textFill>
        </w:rPr>
        <w:t>重汽（济南）车桥有限公司</w:t>
      </w:r>
      <w:r>
        <w:rPr>
          <w:rFonts w:eastAsia="仿宋_GB2312"/>
          <w:color w:val="000000" w:themeColor="text1"/>
          <w:sz w:val="30"/>
          <w:szCs w:val="30"/>
          <w14:textFill>
            <w14:solidFill>
              <w14:schemeClr w14:val="tx1"/>
            </w14:solidFill>
          </w14:textFill>
        </w:rPr>
        <w:t xml:space="preserve"> </w:t>
      </w:r>
    </w:p>
    <w:p>
      <w:pPr>
        <w:spacing w:line="440" w:lineRule="exact"/>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承包人（全称）：</w:t>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p>
    <w:p>
      <w:pPr>
        <w:spacing w:line="440" w:lineRule="exact"/>
        <w:rPr>
          <w:rFonts w:eastAsia="仿宋_GB2312"/>
          <w:color w:val="000000" w:themeColor="text1"/>
          <w:sz w:val="30"/>
          <w:szCs w:val="30"/>
          <w14:textFill>
            <w14:solidFill>
              <w14:schemeClr w14:val="tx1"/>
            </w14:solidFill>
          </w14:textFill>
        </w:rPr>
      </w:pP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发包人和承包人根据《中华人民共和国建筑法》和《建设工程质量管理条例》，经协商一致就</w:t>
      </w:r>
      <w:r>
        <w:rPr>
          <w:rFonts w:hint="eastAsia" w:eastAsia="仿宋_GB2312"/>
          <w:color w:val="000000" w:themeColor="text1"/>
          <w:sz w:val="30"/>
          <w:szCs w:val="30"/>
          <w:u w:val="single"/>
          <w14:textFill>
            <w14:solidFill>
              <w14:schemeClr w14:val="tx1"/>
            </w14:solidFill>
          </w14:textFill>
        </w:rPr>
        <w:t>济南橡塑件公司新能源高压线束车间改造技改项目工程施工</w:t>
      </w:r>
      <w:r>
        <w:rPr>
          <w:rFonts w:hint="eastAsia" w:eastAsia="仿宋_GB2312"/>
          <w:color w:val="000000" w:themeColor="text1"/>
          <w:sz w:val="30"/>
          <w:szCs w:val="30"/>
          <w14:textFill>
            <w14:solidFill>
              <w14:schemeClr w14:val="tx1"/>
            </w14:solidFill>
          </w14:textFill>
        </w:rPr>
        <w:t>（工程全称）签订工程质量保修书。</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一、工程质量保修范围和内容</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承包人在质量保修期内，按照有关法律规定和合同约定，承担工程质量保修责任。</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范围包括地基基础工程、主体结构工程，屋面防水工程、有防水要求的卫生间、房间和外墙面的防渗漏，供热与供冷系统，电气管线、给排水管道、设备安装和装修工程，以及双方约定的其他项目。具体保修的内容，双方约定如下：</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承包人承包范围以内的全部工程内容。若施工合同中有其它保修约定的按约定执行</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二、质量保修期</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根据《建设工程质量管理条例》及有关规定，工程的质量保修期如下：</w:t>
      </w:r>
    </w:p>
    <w:p>
      <w:pPr>
        <w:ind w:firstLine="600" w:firstLineChars="200"/>
        <w:rPr>
          <w:rFonts w:ascii="仿宋_GB2312" w:eastAsia="仿宋_GB2312"/>
          <w:color w:val="000000" w:themeColor="text1"/>
          <w:sz w:val="30"/>
          <w:szCs w:val="30"/>
          <w14:textFill>
            <w14:solidFill>
              <w14:schemeClr w14:val="tx1"/>
            </w14:solidFill>
          </w14:textFill>
        </w:rPr>
      </w:pPr>
      <w:r>
        <w:rPr>
          <w:rFonts w:ascii="仿宋_GB2312"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w:t>
      </w:r>
      <w:r>
        <w:rPr>
          <w:rFonts w:hint="eastAsia" w:ascii="仿宋_GB2312" w:eastAsia="仿宋_GB2312"/>
          <w:color w:val="000000" w:themeColor="text1"/>
          <w:sz w:val="30"/>
          <w:szCs w:val="30"/>
          <w14:textFill>
            <w14:solidFill>
              <w14:schemeClr w14:val="tx1"/>
            </w14:solidFill>
          </w14:textFill>
        </w:rPr>
        <w:t>地基基础工程和主体结构工程为设计文件规定的工程合理使用年限；</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屋面防水工程、有防水要求的卫生间、房间和外墙面的防渗为</w:t>
      </w:r>
      <w:r>
        <w:rPr>
          <w:rFonts w:eastAsia="仿宋_GB2312"/>
          <w:color w:val="000000" w:themeColor="text1"/>
          <w:sz w:val="30"/>
          <w:szCs w:val="30"/>
          <w:u w:val="single"/>
          <w14:textFill>
            <w14:solidFill>
              <w14:schemeClr w14:val="tx1"/>
            </w14:solidFill>
          </w14:textFill>
        </w:rPr>
        <w:t xml:space="preserve"> 5 </w:t>
      </w:r>
      <w:r>
        <w:rPr>
          <w:rFonts w:hint="eastAsia" w:eastAsia="仿宋_GB2312"/>
          <w:color w:val="000000" w:themeColor="text1"/>
          <w:sz w:val="30"/>
          <w:szCs w:val="30"/>
          <w14:textFill>
            <w14:solidFill>
              <w14:schemeClr w14:val="tx1"/>
            </w14:solidFill>
          </w14:textFill>
        </w:rPr>
        <w:t>年；</w:t>
      </w:r>
    </w:p>
    <w:p>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装修工程为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4</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电气管线、给排水管道、设备安装工程为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5</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供热与供冷系统为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个采暖期、供冷期；</w:t>
      </w:r>
    </w:p>
    <w:p>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6</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给排水设施、道路等配套工程为</w:t>
      </w:r>
      <w:r>
        <w:rPr>
          <w:rFonts w:eastAsia="仿宋_GB2312"/>
          <w:color w:val="000000" w:themeColor="text1"/>
          <w:sz w:val="30"/>
          <w:szCs w:val="30"/>
          <w:u w:val="single"/>
          <w14:textFill>
            <w14:solidFill>
              <w14:schemeClr w14:val="tx1"/>
            </w14:solidFill>
          </w14:textFill>
        </w:rPr>
        <w:t xml:space="preserve">  2  </w:t>
      </w:r>
      <w:r>
        <w:rPr>
          <w:rFonts w:hint="eastAsia" w:eastAsia="仿宋_GB2312"/>
          <w:color w:val="000000" w:themeColor="text1"/>
          <w:sz w:val="30"/>
          <w:szCs w:val="30"/>
          <w14:textFill>
            <w14:solidFill>
              <w14:schemeClr w14:val="tx1"/>
            </w14:solidFill>
          </w14:textFill>
        </w:rPr>
        <w:t>年；</w:t>
      </w:r>
    </w:p>
    <w:p>
      <w:pPr>
        <w:spacing w:line="360" w:lineRule="auto"/>
        <w:ind w:left="420" w:leftChars="200" w:firstLine="150" w:firstLineChars="5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7</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其他项目保修期限约定如下：</w:t>
      </w:r>
      <w:r>
        <w:rPr>
          <w:rFonts w:eastAsia="仿宋_GB2312"/>
          <w:color w:val="000000" w:themeColor="text1"/>
          <w:sz w:val="30"/>
          <w:szCs w:val="30"/>
          <w:u w:val="single"/>
          <w14:textFill>
            <w14:solidFill>
              <w14:schemeClr w14:val="tx1"/>
            </w14:solidFill>
          </w14:textFill>
        </w:rPr>
        <w:t xml:space="preserve"> </w:t>
      </w:r>
      <w:r>
        <w:rPr>
          <w:rFonts w:hint="eastAsia" w:eastAsia="仿宋_GB2312"/>
          <w:i/>
          <w:iCs/>
          <w:color w:val="000000" w:themeColor="text1"/>
          <w:sz w:val="30"/>
          <w:szCs w:val="30"/>
          <w:u w:val="single"/>
          <w14:textFill>
            <w14:solidFill>
              <w14:schemeClr w14:val="tx1"/>
            </w14:solidFill>
          </w14:textFill>
        </w:rPr>
        <w:t>依据工程具体情况而定</w:t>
      </w:r>
      <w:r>
        <w:rPr>
          <w:rFonts w:eastAsia="仿宋_GB2312"/>
          <w:i/>
          <w:iCs/>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质量保修期自工程竣工验收合格之日起计算。</w:t>
      </w:r>
      <w:r>
        <w:rPr>
          <w:rFonts w:eastAsia="仿宋_GB2312"/>
          <w:color w:val="000000" w:themeColor="text1"/>
          <w:sz w:val="30"/>
          <w:szCs w:val="30"/>
          <w14:textFill>
            <w14:solidFill>
              <w14:schemeClr w14:val="tx1"/>
            </w14:solidFill>
          </w14:textFill>
        </w:rPr>
        <w:t>在保修期内出现</w:t>
      </w:r>
      <w:r>
        <w:rPr>
          <w:i/>
          <w:color w:val="000000" w:themeColor="text1"/>
          <w:sz w:val="30"/>
          <w:u w:val="single"/>
          <w14:textFill>
            <w14:solidFill>
              <w14:schemeClr w14:val="tx1"/>
            </w14:solidFill>
          </w14:textFill>
        </w:rPr>
        <w:t xml:space="preserve"> 防水 </w:t>
      </w:r>
      <w:r>
        <w:rPr>
          <w:rFonts w:eastAsia="仿宋_GB2312"/>
          <w:color w:val="000000" w:themeColor="text1"/>
          <w:sz w:val="30"/>
          <w:szCs w:val="30"/>
          <w14:textFill>
            <w14:solidFill>
              <w14:schemeClr w14:val="tx1"/>
            </w14:solidFill>
          </w14:textFill>
        </w:rPr>
        <w:t>质量问题经修复完成后，相应保修期重新计算。</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三、质量保修责任</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属于保修范围、内容的项目，承包人应当在接到保修通知之日起</w:t>
      </w:r>
      <w:r>
        <w:rPr>
          <w:rFonts w:eastAsia="仿宋_GB2312"/>
          <w:color w:val="000000" w:themeColor="text1"/>
          <w:sz w:val="30"/>
          <w:szCs w:val="30"/>
          <w14:textFill>
            <w14:solidFill>
              <w14:schemeClr w14:val="tx1"/>
            </w14:solidFill>
          </w14:textFill>
        </w:rPr>
        <w:t>24</w:t>
      </w:r>
      <w:r>
        <w:rPr>
          <w:rFonts w:hint="eastAsia" w:eastAsia="仿宋_GB2312"/>
          <w:color w:val="000000" w:themeColor="text1"/>
          <w:sz w:val="30"/>
          <w:szCs w:val="30"/>
          <w14:textFill>
            <w14:solidFill>
              <w14:schemeClr w14:val="tx1"/>
            </w14:solidFill>
          </w14:textFill>
        </w:rPr>
        <w:t>小时内派人保修。承包人不在约定期限内派人保修的，发包人可以委托他人修理；保修费用从质量保修金内双倍扣除。</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发生紧急事故需抢修的，承包人在接到事故通知后，应当立即到达事故现场抢修。非承包人施工质量引起的事故，抢修费用由发包人承担。</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对于涉及结构安全的质量问题，应当按照《建设工程质量管理条例》的规定，立即向当地建设行政主管部门和有关部门报告，采取安全防范措施，并由原设计人或者具有相应资质等级的设计人提出保修方案，承包人实施保修，并应承担损害赔偿责任</w:t>
      </w:r>
      <w:r>
        <w:rPr>
          <w:rFonts w:hint="eastAsia" w:ascii="仿宋_GB2312" w:hAnsi="仿宋_GB2312" w:eastAsia="仿宋_GB2312" w:cs="仿宋_GB2312"/>
          <w:color w:val="000000" w:themeColor="text1"/>
          <w:sz w:val="24"/>
          <w14:textFill>
            <w14:solidFill>
              <w14:schemeClr w14:val="tx1"/>
            </w14:solidFill>
          </w14:textFill>
        </w:rPr>
        <w:t>。</w:t>
      </w:r>
    </w:p>
    <w:p>
      <w:pPr>
        <w:spacing w:line="520" w:lineRule="exact"/>
        <w:ind w:firstLine="588" w:firstLineChars="196"/>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4</w:t>
      </w:r>
      <w:r>
        <w:rPr>
          <w:rFonts w:hint="eastAsia" w:ascii="仿宋_GB2312"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质量保修完成后，由发包人组织验收。</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四、质量保修金的支付</w:t>
      </w:r>
    </w:p>
    <w:p>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本工程双方约定承包人向发包人支付工程质量保修金金额为工程结算款的</w:t>
      </w:r>
      <w:r>
        <w:rPr>
          <w:rFonts w:hint="eastAsia" w:eastAsia="仿宋_GB2312"/>
          <w:color w:val="000000" w:themeColor="text1"/>
          <w:sz w:val="30"/>
          <w:szCs w:val="30"/>
          <w:u w:val="single"/>
          <w14:textFill>
            <w14:solidFill>
              <w14:schemeClr w14:val="tx1"/>
            </w14:solidFill>
          </w14:textFill>
        </w:rPr>
        <w:t>百分之叁（大写）</w:t>
      </w:r>
      <w:r>
        <w:rPr>
          <w:rFonts w:hint="eastAsia" w:eastAsia="仿宋_GB2312"/>
          <w:color w:val="000000" w:themeColor="text1"/>
          <w:sz w:val="30"/>
          <w:szCs w:val="30"/>
          <w14:textFill>
            <w14:solidFill>
              <w14:schemeClr w14:val="tx1"/>
            </w14:solidFill>
          </w14:textFill>
        </w:rPr>
        <w:t>。质量保修金银行利率为</w:t>
      </w: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u w:val="single"/>
          <w14:textFill>
            <w14:solidFill>
              <w14:schemeClr w14:val="tx1"/>
            </w14:solidFill>
          </w14:textFill>
        </w:rPr>
        <w:t>无</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五、质量保修金的返还</w:t>
      </w:r>
    </w:p>
    <w:p>
      <w:pPr>
        <w:spacing w:line="360" w:lineRule="auto"/>
        <w:ind w:left="105" w:leftChars="50" w:firstLine="615" w:firstLineChars="205"/>
        <w:rPr>
          <w:rFonts w:eastAsia="仿宋_GB2312"/>
          <w:color w:val="000000" w:themeColor="text1"/>
          <w:sz w:val="30"/>
          <w:szCs w:val="30"/>
          <w:u w:val="single"/>
          <w14:textFill>
            <w14:solidFill>
              <w14:schemeClr w14:val="tx1"/>
            </w14:solidFill>
          </w14:textFill>
        </w:rPr>
      </w:pPr>
      <w:r>
        <w:rPr>
          <w:rFonts w:eastAsia="仿宋_GB2312"/>
          <w:color w:val="000000" w:themeColor="text1"/>
          <w:sz w:val="30"/>
          <w:szCs w:val="30"/>
          <w:u w:val="single"/>
          <w14:textFill>
            <w14:solidFill>
              <w14:schemeClr w14:val="tx1"/>
            </w14:solidFill>
          </w14:textFill>
        </w:rPr>
        <w:sym w:font="Wingdings 2" w:char="F052"/>
      </w:r>
      <w:r>
        <w:rPr>
          <w:rFonts w:hint="eastAsia" w:eastAsia="仿宋_GB2312"/>
          <w:color w:val="000000" w:themeColor="text1"/>
          <w:sz w:val="30"/>
          <w:szCs w:val="30"/>
          <w:u w:val="single"/>
          <w14:textFill>
            <w14:solidFill>
              <w14:schemeClr w14:val="tx1"/>
            </w14:solidFill>
          </w14:textFill>
        </w:rPr>
        <w:t>工程竣工验收合格之日起两年且无质量问题，且经工程使用单位或发包人签署质量保修金支付证明后，无息返还质量保修金的</w:t>
      </w:r>
      <w:r>
        <w:rPr>
          <w:rFonts w:eastAsia="仿宋_GB2312"/>
          <w:color w:val="000000" w:themeColor="text1"/>
          <w:sz w:val="30"/>
          <w:szCs w:val="30"/>
          <w:u w:val="single"/>
          <w14:textFill>
            <w14:solidFill>
              <w14:schemeClr w14:val="tx1"/>
            </w14:solidFill>
          </w14:textFill>
        </w:rPr>
        <w:t>100%</w:t>
      </w:r>
      <w:r>
        <w:rPr>
          <w:rFonts w:hint="eastAsia" w:eastAsia="仿宋_GB2312"/>
          <w:color w:val="000000" w:themeColor="text1"/>
          <w:sz w:val="30"/>
          <w:szCs w:val="30"/>
          <w:u w:val="single"/>
          <w14:textFill>
            <w14:solidFill>
              <w14:schemeClr w14:val="tx1"/>
            </w14:solidFill>
          </w14:textFill>
        </w:rPr>
        <w:t>。</w:t>
      </w:r>
    </w:p>
    <w:p>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质量保修期延长的，最后一笔返还质量保修金的期限同时顺延。</w:t>
      </w:r>
    </w:p>
    <w:p>
      <w:pPr>
        <w:spacing w:line="360" w:lineRule="auto"/>
        <w:ind w:firstLine="600" w:firstLineChars="200"/>
        <w:rPr>
          <w:rFonts w:eastAsia="黑体"/>
          <w:color w:val="000000" w:themeColor="text1"/>
          <w:sz w:val="30"/>
          <w:szCs w:val="30"/>
          <w14:textFill>
            <w14:solidFill>
              <w14:schemeClr w14:val="tx1"/>
            </w14:solidFill>
          </w14:textFill>
        </w:rPr>
      </w:pPr>
      <w:r>
        <w:rPr>
          <w:rFonts w:hint="eastAsia" w:eastAsia="黑体"/>
          <w:color w:val="000000" w:themeColor="text1"/>
          <w:sz w:val="30"/>
          <w:szCs w:val="30"/>
          <w14:textFill>
            <w14:solidFill>
              <w14:schemeClr w14:val="tx1"/>
            </w14:solidFill>
          </w14:textFill>
        </w:rPr>
        <w:t>六、其它</w:t>
      </w:r>
    </w:p>
    <w:p>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、本保修书作为施工工程合同的附件，与施工工程合同具有同等法律效力。</w:t>
      </w:r>
    </w:p>
    <w:p>
      <w:pPr>
        <w:spacing w:line="360" w:lineRule="auto"/>
        <w:ind w:left="105" w:leftChars="50" w:firstLine="615" w:firstLineChars="205"/>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eastAsia="仿宋_GB2312"/>
          <w:color w:val="000000" w:themeColor="text1"/>
          <w:sz w:val="30"/>
          <w:szCs w:val="30"/>
          <w14:textFill>
            <w14:solidFill>
              <w14:schemeClr w14:val="tx1"/>
            </w14:solidFill>
          </w14:textFill>
        </w:rPr>
        <w:t>、双方约定的其它工程质量保修事项：无。</w:t>
      </w:r>
    </w:p>
    <w:p>
      <w:pPr>
        <w:spacing w:line="360" w:lineRule="auto"/>
        <w:ind w:firstLine="600" w:firstLineChars="200"/>
        <w:rPr>
          <w:rFonts w:eastAsia="仿宋_GB2312"/>
          <w:color w:val="000000"/>
          <w:sz w:val="30"/>
          <w:szCs w:val="30"/>
        </w:rPr>
      </w:pPr>
      <w:r>
        <w:rPr>
          <w:rFonts w:hint="eastAsia" w:eastAsia="仿宋_GB2312"/>
          <w:color w:val="000000"/>
          <w:sz w:val="30"/>
          <w:szCs w:val="30"/>
        </w:rPr>
        <w:t>（1）对于属于质量问题及保修范围、内容的项目，承包人应当在接到发包人的《质量维修通知单》（书面形式通过顺丰或EMS向施工单位发送，均为有效）之日起按照通知单载明的限期内派人维修。承包人不在约定期限内派人维修的，发包人可以另委托第三方维修；发生的维修费用，按第三方维修单位向发包人主张的结算报审金额计取，从本合同尾款内双倍扣除。本合同尾款不足部分，仍由承包人承担。从合同尾款中扣除的，承包人承诺配合发包人签订合同补充协议，调整合同额。逾期维修造成的的损失亦由承包人承担。</w:t>
      </w:r>
    </w:p>
    <w:p>
      <w:pPr>
        <w:spacing w:line="360" w:lineRule="auto"/>
        <w:ind w:firstLine="570" w:firstLineChars="19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工程质量保修书由发包人、承包人在工程竣工验收前共同签署，作为施工合同附件，其有效期限至保修期满。</w:t>
      </w:r>
    </w:p>
    <w:p>
      <w:pPr>
        <w:spacing w:line="360" w:lineRule="auto"/>
        <w:ind w:firstLine="570" w:firstLineChars="190"/>
        <w:rPr>
          <w:rFonts w:eastAsia="仿宋_GB2312"/>
          <w:color w:val="000000" w:themeColor="text1"/>
          <w:sz w:val="30"/>
          <w:szCs w:val="30"/>
          <w14:textFill>
            <w14:solidFill>
              <w14:schemeClr w14:val="tx1"/>
            </w14:solidFill>
          </w14:textFill>
        </w:rPr>
      </w:pPr>
    </w:p>
    <w:p>
      <w:pPr>
        <w:spacing w:line="360" w:lineRule="auto"/>
        <w:ind w:firstLine="42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6</w:t>
      </w:r>
      <w:r>
        <w:rPr>
          <w:rFonts w:hint="eastAsia" w:ascii="仿宋_GB2312"/>
          <w:color w:val="000000" w:themeColor="text1"/>
          <w:sz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承包人主要施工管理人员表</w:t>
      </w:r>
    </w:p>
    <w:tbl>
      <w:tblPr>
        <w:tblStyle w:val="37"/>
        <w:tblW w:w="9809" w:type="dxa"/>
        <w:jc w:val="center"/>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1871"/>
        <w:gridCol w:w="1418"/>
        <w:gridCol w:w="1134"/>
        <w:gridCol w:w="1134"/>
        <w:gridCol w:w="425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12" w:space="0"/>
              <w:bottom w:val="double" w:color="auto" w:sz="6" w:space="0"/>
            </w:tcBorders>
            <w:vAlign w:val="center"/>
          </w:tcPr>
          <w:p>
            <w:pPr>
              <w:pStyle w:val="19"/>
            </w:pPr>
            <w:r>
              <w:rPr>
                <w:rFonts w:hint="eastAsia"/>
              </w:rPr>
              <w:t>名</w:t>
            </w:r>
            <w:r>
              <w:t xml:space="preserve">    </w:t>
            </w:r>
            <w:r>
              <w:rPr>
                <w:rFonts w:hint="eastAsia"/>
              </w:rPr>
              <w:t>称</w:t>
            </w:r>
          </w:p>
        </w:tc>
        <w:tc>
          <w:tcPr>
            <w:tcW w:w="1418" w:type="dxa"/>
            <w:tcBorders>
              <w:top w:val="single" w:color="auto" w:sz="12" w:space="0"/>
              <w:bottom w:val="double" w:color="auto" w:sz="6" w:space="0"/>
            </w:tcBorders>
            <w:vAlign w:val="center"/>
          </w:tcPr>
          <w:p>
            <w:pPr>
              <w:pStyle w:val="19"/>
            </w:pPr>
            <w:r>
              <w:rPr>
                <w:rFonts w:hint="eastAsia"/>
              </w:rPr>
              <w:t>姓名</w:t>
            </w:r>
          </w:p>
        </w:tc>
        <w:tc>
          <w:tcPr>
            <w:tcW w:w="1134" w:type="dxa"/>
            <w:tcBorders>
              <w:top w:val="single" w:color="auto" w:sz="12" w:space="0"/>
              <w:bottom w:val="double" w:color="auto" w:sz="6" w:space="0"/>
            </w:tcBorders>
            <w:vAlign w:val="center"/>
          </w:tcPr>
          <w:p>
            <w:pPr>
              <w:pStyle w:val="19"/>
            </w:pPr>
            <w:r>
              <w:rPr>
                <w:rFonts w:hint="eastAsia"/>
              </w:rPr>
              <w:t>职务</w:t>
            </w:r>
          </w:p>
        </w:tc>
        <w:tc>
          <w:tcPr>
            <w:tcW w:w="1134" w:type="dxa"/>
            <w:tcBorders>
              <w:top w:val="single" w:color="auto" w:sz="12" w:space="0"/>
              <w:bottom w:val="double" w:color="auto" w:sz="6" w:space="0"/>
            </w:tcBorders>
            <w:vAlign w:val="center"/>
          </w:tcPr>
          <w:p>
            <w:pPr>
              <w:pStyle w:val="19"/>
            </w:pPr>
            <w:r>
              <w:rPr>
                <w:rFonts w:hint="eastAsia"/>
              </w:rPr>
              <w:t>职称</w:t>
            </w:r>
          </w:p>
        </w:tc>
        <w:tc>
          <w:tcPr>
            <w:tcW w:w="4252" w:type="dxa"/>
            <w:tcBorders>
              <w:top w:val="single" w:color="auto" w:sz="12" w:space="0"/>
              <w:bottom w:val="double" w:color="auto" w:sz="6" w:space="0"/>
            </w:tcBorders>
            <w:vAlign w:val="center"/>
          </w:tcPr>
          <w:p>
            <w:pPr>
              <w:pStyle w:val="19"/>
            </w:pPr>
            <w:r>
              <w:rPr>
                <w:rFonts w:hint="eastAsia"/>
              </w:rPr>
              <w:t>主要资历、经验及承担过的项目</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double" w:color="auto" w:sz="6" w:space="0"/>
              <w:bottom w:val="single" w:color="auto" w:sz="6" w:space="0"/>
            </w:tcBorders>
            <w:vAlign w:val="center"/>
          </w:tcPr>
          <w:p>
            <w:pPr>
              <w:pStyle w:val="19"/>
            </w:pPr>
            <w:r>
              <w:rPr>
                <w:rFonts w:hint="eastAsia"/>
              </w:rPr>
              <w:t>一、总部人员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pPr>
              <w:pStyle w:val="19"/>
            </w:pPr>
            <w:r>
              <w:rPr>
                <w:rFonts w:hint="eastAsia"/>
              </w:rPr>
              <w:t>项目主管</w:t>
            </w:r>
          </w:p>
        </w:tc>
        <w:tc>
          <w:tcPr>
            <w:tcW w:w="1418" w:type="dxa"/>
            <w:tcBorders>
              <w:top w:val="nil"/>
            </w:tcBorders>
            <w:vAlign w:val="center"/>
          </w:tcPr>
          <w:p>
            <w:pPr>
              <w:pStyle w:val="19"/>
            </w:pPr>
          </w:p>
        </w:tc>
        <w:tc>
          <w:tcPr>
            <w:tcW w:w="1134" w:type="dxa"/>
            <w:tcBorders>
              <w:top w:val="nil"/>
            </w:tcBorders>
            <w:vAlign w:val="center"/>
          </w:tcPr>
          <w:p>
            <w:pPr>
              <w:pStyle w:val="19"/>
            </w:pPr>
          </w:p>
        </w:tc>
        <w:tc>
          <w:tcPr>
            <w:tcW w:w="1134" w:type="dxa"/>
            <w:tcBorders>
              <w:top w:val="nil"/>
            </w:tcBorders>
            <w:vAlign w:val="center"/>
          </w:tcPr>
          <w:p>
            <w:pPr>
              <w:pStyle w:val="19"/>
            </w:pPr>
          </w:p>
        </w:tc>
        <w:tc>
          <w:tcPr>
            <w:tcW w:w="4252" w:type="dxa"/>
            <w:tcBorders>
              <w:top w:val="nil"/>
            </w:tcBorders>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nil"/>
            </w:tcBorders>
            <w:vAlign w:val="center"/>
          </w:tcPr>
          <w:p>
            <w:pPr>
              <w:pStyle w:val="19"/>
            </w:pP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pPr>
              <w:pStyle w:val="19"/>
            </w:pPr>
            <w:r>
              <w:rPr>
                <w:rFonts w:hint="eastAsia"/>
              </w:rPr>
              <w:t>其他人员</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nil"/>
              <w:bottom w:val="nil"/>
            </w:tcBorders>
            <w:vAlign w:val="center"/>
          </w:tcPr>
          <w:p>
            <w:pPr>
              <w:pStyle w:val="19"/>
            </w:pP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9809" w:type="dxa"/>
            <w:gridSpan w:val="5"/>
            <w:tcBorders>
              <w:top w:val="single" w:color="auto" w:sz="6" w:space="0"/>
              <w:bottom w:val="single" w:color="auto" w:sz="6" w:space="0"/>
            </w:tcBorders>
            <w:vAlign w:val="center"/>
          </w:tcPr>
          <w:p>
            <w:pPr>
              <w:pStyle w:val="19"/>
            </w:pPr>
            <w:r>
              <w:rPr>
                <w:rFonts w:hint="eastAsia"/>
              </w:rPr>
              <w:t>二、现场人员</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项目经理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项目副经理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技术负责人</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造价管理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质量管理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材料管理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计划管理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tcBorders>
              <w:top w:val="single" w:color="auto" w:sz="6" w:space="0"/>
              <w:bottom w:val="single" w:color="auto" w:sz="6" w:space="0"/>
            </w:tcBorders>
            <w:vAlign w:val="center"/>
          </w:tcPr>
          <w:p>
            <w:pPr>
              <w:pStyle w:val="19"/>
            </w:pPr>
            <w:r>
              <w:rPr>
                <w:rFonts w:hint="eastAsia"/>
              </w:rPr>
              <w:t>安全管理</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restart"/>
            <w:tcBorders>
              <w:top w:val="single" w:color="auto" w:sz="6" w:space="0"/>
            </w:tcBorders>
            <w:vAlign w:val="center"/>
          </w:tcPr>
          <w:p>
            <w:pPr>
              <w:pStyle w:val="19"/>
            </w:pPr>
            <w:r>
              <w:rPr>
                <w:rFonts w:hint="eastAsia"/>
              </w:rPr>
              <w:t>其他人员</w:t>
            </w: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rPr>
          <w:jc w:val="center"/>
        </w:trPr>
        <w:tc>
          <w:tcPr>
            <w:tcW w:w="1871" w:type="dxa"/>
            <w:vMerge w:val="continue"/>
            <w:vAlign w:val="center"/>
          </w:tcPr>
          <w:p>
            <w:pPr>
              <w:pStyle w:val="19"/>
            </w:pPr>
          </w:p>
        </w:tc>
        <w:tc>
          <w:tcPr>
            <w:tcW w:w="1418" w:type="dxa"/>
            <w:vAlign w:val="center"/>
          </w:tcPr>
          <w:p>
            <w:pPr>
              <w:pStyle w:val="19"/>
            </w:pPr>
          </w:p>
        </w:tc>
        <w:tc>
          <w:tcPr>
            <w:tcW w:w="1134" w:type="dxa"/>
            <w:vAlign w:val="center"/>
          </w:tcPr>
          <w:p>
            <w:pPr>
              <w:pStyle w:val="19"/>
            </w:pPr>
          </w:p>
        </w:tc>
        <w:tc>
          <w:tcPr>
            <w:tcW w:w="1134" w:type="dxa"/>
            <w:vAlign w:val="center"/>
          </w:tcPr>
          <w:p>
            <w:pPr>
              <w:pStyle w:val="19"/>
            </w:pPr>
          </w:p>
        </w:tc>
        <w:tc>
          <w:tcPr>
            <w:tcW w:w="4252" w:type="dxa"/>
            <w:vAlign w:val="center"/>
          </w:tcPr>
          <w:p>
            <w:pPr>
              <w:pStyle w:val="19"/>
            </w:pPr>
          </w:p>
        </w:tc>
      </w:tr>
    </w:tbl>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eastAsia="仿宋_GB2312"/>
          <w:color w:val="000000" w:themeColor="text1"/>
          <w:sz w:val="30"/>
          <w:szCs w:val="30"/>
          <w14:textFill>
            <w14:solidFill>
              <w14:schemeClr w14:val="tx1"/>
            </w14:solidFill>
          </w14:textFill>
        </w:rPr>
        <w:br w:type="page"/>
      </w: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7</w:t>
      </w:r>
      <w:r>
        <w:rPr>
          <w:rFonts w:hint="eastAsia" w:ascii="仿宋_GB2312"/>
          <w:color w:val="000000" w:themeColor="text1"/>
          <w:sz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履约担保</w:t>
      </w:r>
      <w:r>
        <w:rPr>
          <w:rFonts w:hint="eastAsia"/>
          <w:color w:val="000000"/>
          <w:sz w:val="32"/>
        </w:rPr>
        <w:t>（本次不提供）</w:t>
      </w:r>
    </w:p>
    <w:p>
      <w:pPr>
        <w:spacing w:line="360" w:lineRule="auto"/>
        <w:jc w:val="center"/>
      </w:pPr>
      <w:r>
        <w:rPr>
          <w:rFonts w:eastAsia="仿宋_GB2312"/>
          <w:sz w:val="28"/>
          <w:szCs w:val="28"/>
        </w:rPr>
        <w:t>(</w:t>
      </w:r>
      <w:r>
        <w:rPr>
          <w:rFonts w:hint="eastAsia" w:eastAsia="仿宋_GB2312"/>
          <w:sz w:val="28"/>
          <w:szCs w:val="28"/>
        </w:rPr>
        <w:t>示例格式，</w:t>
      </w:r>
      <w:r>
        <w:rPr>
          <w:rFonts w:eastAsia="仿宋_GB2312"/>
          <w:sz w:val="28"/>
          <w:szCs w:val="28"/>
        </w:rPr>
        <w:t>以最终</w:t>
      </w:r>
      <w:r>
        <w:rPr>
          <w:rFonts w:hint="eastAsia" w:eastAsia="仿宋_GB2312"/>
          <w:sz w:val="28"/>
          <w:szCs w:val="28"/>
        </w:rPr>
        <w:t>银行开具</w:t>
      </w:r>
      <w:r>
        <w:rPr>
          <w:rFonts w:eastAsia="仿宋_GB2312"/>
          <w:sz w:val="28"/>
          <w:szCs w:val="28"/>
        </w:rPr>
        <w:t>履约担保格式</w:t>
      </w:r>
      <w:r>
        <w:rPr>
          <w:rFonts w:hint="eastAsia" w:eastAsia="仿宋_GB2312"/>
          <w:sz w:val="28"/>
          <w:szCs w:val="28"/>
        </w:rPr>
        <w:t>为准</w:t>
      </w:r>
      <w:r>
        <w:rPr>
          <w:rFonts w:eastAsia="仿宋_GB2312"/>
          <w:sz w:val="28"/>
          <w:szCs w:val="28"/>
        </w:rPr>
        <w:t>）</w:t>
      </w:r>
    </w:p>
    <w:p>
      <w:pPr>
        <w:spacing w:line="440" w:lineRule="exact"/>
        <w:rPr>
          <w:rFonts w:eastAsia="仿宋_GB2312"/>
          <w:color w:val="000000" w:themeColor="text1"/>
          <w:sz w:val="30"/>
          <w:szCs w:val="30"/>
          <w14:textFill>
            <w14:solidFill>
              <w14:schemeClr w14:val="tx1"/>
            </w14:solidFill>
          </w14:textFill>
        </w:rPr>
      </w:pP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hint="eastAsia" w:eastAsia="仿宋_GB2312"/>
          <w:color w:val="000000" w:themeColor="text1"/>
          <w:sz w:val="30"/>
          <w:szCs w:val="30"/>
          <w14:textFill>
            <w14:solidFill>
              <w14:schemeClr w14:val="tx1"/>
            </w14:solidFill>
          </w14:textFill>
        </w:rPr>
        <w:t>（发包人名称）：</w:t>
      </w:r>
    </w:p>
    <w:p>
      <w:pPr>
        <w:spacing w:line="440" w:lineRule="exact"/>
        <w:rPr>
          <w:rFonts w:eastAsia="仿宋_GB2312"/>
          <w:color w:val="000000" w:themeColor="text1"/>
          <w:sz w:val="30"/>
          <w:szCs w:val="30"/>
          <w14:textFill>
            <w14:solidFill>
              <w14:schemeClr w14:val="tx1"/>
            </w14:solidFill>
          </w14:textFill>
        </w:rPr>
      </w:pP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鉴于</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（发包人名称，以下简称</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发包人</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）与</w:t>
      </w:r>
    </w:p>
    <w:p>
      <w:pPr>
        <w:spacing w:line="360" w:lineRule="auto"/>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（承包人名称）（以下称</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承包人</w:t>
      </w:r>
      <w:r>
        <w:rPr>
          <w:rFonts w:eastAsia="仿宋_GB2312"/>
          <w:color w:val="000000" w:themeColor="text1"/>
          <w:sz w:val="30"/>
          <w:szCs w:val="30"/>
          <w14:textFill>
            <w14:solidFill>
              <w14:schemeClr w14:val="tx1"/>
            </w14:solidFill>
          </w14:textFill>
        </w:rPr>
        <w:t>”</w:t>
      </w:r>
      <w:r>
        <w:rPr>
          <w:rFonts w:hint="eastAsia" w:eastAsia="仿宋_GB2312"/>
          <w:color w:val="000000" w:themeColor="text1"/>
          <w:sz w:val="30"/>
          <w:szCs w:val="30"/>
          <w14:textFill>
            <w14:solidFill>
              <w14:schemeClr w14:val="tx1"/>
            </w14:solidFill>
          </w14:textFill>
        </w:rPr>
        <w:t>）于</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日就</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（工程名称）施工及有关事项协商一致共同签订《建设工程施工合同》。我方愿意无条件地、不可撤销地就承包人履行与你方签订的合同，向你方提供连带责任担保。</w:t>
      </w:r>
      <w:r>
        <w:rPr>
          <w:rFonts w:eastAsia="仿宋_GB2312"/>
          <w:color w:val="000000" w:themeColor="text1"/>
          <w:sz w:val="30"/>
          <w:szCs w:val="30"/>
          <w14:textFill>
            <w14:solidFill>
              <w14:schemeClr w14:val="tx1"/>
            </w14:solidFill>
          </w14:textFill>
        </w:rPr>
        <w:t xml:space="preserve"> </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1. </w:t>
      </w:r>
      <w:r>
        <w:rPr>
          <w:rFonts w:hint="eastAsia" w:eastAsia="仿宋_GB2312"/>
          <w:color w:val="000000" w:themeColor="text1"/>
          <w:sz w:val="30"/>
          <w:szCs w:val="30"/>
          <w14:textFill>
            <w14:solidFill>
              <w14:schemeClr w14:val="tx1"/>
            </w14:solidFill>
          </w14:textFill>
        </w:rPr>
        <w:t>担保金额人民币（大写）</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2. </w:t>
      </w:r>
      <w:r>
        <w:rPr>
          <w:rFonts w:hint="eastAsia" w:eastAsia="仿宋_GB2312"/>
          <w:color w:val="000000" w:themeColor="text1"/>
          <w:sz w:val="30"/>
          <w:szCs w:val="30"/>
          <w14:textFill>
            <w14:solidFill>
              <w14:schemeClr w14:val="tx1"/>
            </w14:solidFill>
          </w14:textFill>
        </w:rPr>
        <w:t>担保有效期自你方与承包人签订的合同生效之日起至你方签发或应签发工程接收证书之日止。</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3. </w:t>
      </w:r>
      <w:r>
        <w:rPr>
          <w:rFonts w:hint="eastAsia" w:eastAsia="仿宋_GB2312"/>
          <w:color w:val="000000" w:themeColor="text1"/>
          <w:sz w:val="30"/>
          <w:szCs w:val="30"/>
          <w14:textFill>
            <w14:solidFill>
              <w14:schemeClr w14:val="tx1"/>
            </w14:solidFill>
          </w14:textFill>
        </w:rPr>
        <w:t>在本担保有效期内，因承包人违反合同约定的义务给你方造成经济损失时，我方在收到你方以书面形式提出的在担保金额内的赔偿要求后，在</w:t>
      </w:r>
      <w:r>
        <w:rPr>
          <w:rFonts w:eastAsia="仿宋_GB2312"/>
          <w:color w:val="000000" w:themeColor="text1"/>
          <w:sz w:val="30"/>
          <w:szCs w:val="30"/>
          <w14:textFill>
            <w14:solidFill>
              <w14:schemeClr w14:val="tx1"/>
            </w14:solidFill>
          </w14:textFill>
        </w:rPr>
        <w:t>7</w:t>
      </w:r>
      <w:r>
        <w:rPr>
          <w:rFonts w:hint="eastAsia" w:eastAsia="仿宋_GB2312"/>
          <w:color w:val="000000" w:themeColor="text1"/>
          <w:sz w:val="30"/>
          <w:szCs w:val="30"/>
          <w14:textFill>
            <w14:solidFill>
              <w14:schemeClr w14:val="tx1"/>
            </w14:solidFill>
          </w14:textFill>
        </w:rPr>
        <w:t>天内无条件支付。</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4. </w:t>
      </w:r>
      <w:r>
        <w:rPr>
          <w:rFonts w:hint="eastAsia" w:eastAsia="仿宋_GB2312"/>
          <w:color w:val="000000" w:themeColor="text1"/>
          <w:sz w:val="30"/>
          <w:szCs w:val="30"/>
          <w14:textFill>
            <w14:solidFill>
              <w14:schemeClr w14:val="tx1"/>
            </w14:solidFill>
          </w14:textFill>
        </w:rPr>
        <w:t>你方和承包人按合同约定变更合同时，我方承担本担保规定的义务不变。</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5. </w:t>
      </w:r>
      <w:r>
        <w:rPr>
          <w:rFonts w:hint="eastAsia" w:eastAsia="仿宋_GB2312"/>
          <w:color w:val="000000" w:themeColor="text1"/>
          <w:sz w:val="30"/>
          <w:szCs w:val="30"/>
          <w14:textFill>
            <w14:solidFill>
              <w14:schemeClr w14:val="tx1"/>
            </w14:solidFill>
          </w14:textFill>
        </w:rPr>
        <w:t>因本保函发生的纠纷，可由双方协商解决，协商不成的，任何一方均可向</w:t>
      </w:r>
      <w:r>
        <w:rPr>
          <w:rFonts w:hint="eastAsia" w:eastAsia="仿宋_GB2312"/>
          <w:color w:val="000000" w:themeColor="text1"/>
          <w:sz w:val="30"/>
          <w:szCs w:val="30"/>
          <w:u w:val="single"/>
          <w14:textFill>
            <w14:solidFill>
              <w14:schemeClr w14:val="tx1"/>
            </w14:solidFill>
          </w14:textFill>
        </w:rPr>
        <w:t>建设工程所在地</w:t>
      </w:r>
      <w:r>
        <w:rPr>
          <w:rFonts w:hint="eastAsia" w:eastAsia="仿宋_GB2312"/>
          <w:color w:val="000000" w:themeColor="text1"/>
          <w:sz w:val="30"/>
          <w:szCs w:val="30"/>
          <w14:textFill>
            <w14:solidFill>
              <w14:schemeClr w14:val="tx1"/>
            </w14:solidFill>
          </w14:textFill>
        </w:rPr>
        <w:t>有管辖权的人</w:t>
      </w:r>
      <w:r>
        <w:rPr>
          <w:rFonts w:hint="eastAsia" w:eastAsia="仿宋_GB2312"/>
          <w:color w:val="000000" w:themeColor="text1"/>
          <w:sz w:val="30"/>
          <w:szCs w:val="32"/>
          <w14:textFill>
            <w14:solidFill>
              <w14:schemeClr w14:val="tx1"/>
            </w14:solidFill>
          </w14:textFill>
        </w:rPr>
        <w:t>民法院起诉解决</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6. </w:t>
      </w:r>
      <w:r>
        <w:rPr>
          <w:rFonts w:hint="eastAsia" w:eastAsia="仿宋_GB2312"/>
          <w:color w:val="000000" w:themeColor="text1"/>
          <w:sz w:val="30"/>
          <w:szCs w:val="30"/>
          <w14:textFill>
            <w14:solidFill>
              <w14:schemeClr w14:val="tx1"/>
            </w14:solidFill>
          </w14:textFill>
        </w:rPr>
        <w:t>本保函自我方法定代表人（或其授权代理人）签字并盖章之日起生效。</w:t>
      </w:r>
    </w:p>
    <w:p>
      <w:pPr>
        <w:spacing w:line="360" w:lineRule="auto"/>
        <w:rPr>
          <w:rFonts w:eastAsia="仿宋_GB2312"/>
          <w:color w:val="000000" w:themeColor="text1"/>
          <w:sz w:val="30"/>
          <w:szCs w:val="30"/>
          <w14:textFill>
            <w14:solidFill>
              <w14:schemeClr w14:val="tx1"/>
            </w14:solidFill>
          </w14:textFill>
        </w:rPr>
      </w:pP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担</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保</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人：</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（盖单位章）</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法定代表人或其委托代理人：</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（签字）</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地</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址：</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邮政编码：</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电</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话：</w:t>
      </w:r>
      <w:r>
        <w:rPr>
          <w:rFonts w:eastAsia="仿宋_GB2312"/>
          <w:color w:val="000000" w:themeColor="text1"/>
          <w:sz w:val="30"/>
          <w:szCs w:val="30"/>
          <w:u w:val="single"/>
          <w14:textFill>
            <w14:solidFill>
              <w14:schemeClr w14:val="tx1"/>
            </w14:solidFill>
          </w14:textFill>
        </w:rPr>
        <w:t xml:space="preserve">                                      </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传</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真：</w:t>
      </w:r>
      <w:r>
        <w:rPr>
          <w:rFonts w:eastAsia="仿宋_GB2312"/>
          <w:color w:val="000000" w:themeColor="text1"/>
          <w:sz w:val="30"/>
          <w:szCs w:val="30"/>
          <w:u w:val="single"/>
          <w14:textFill>
            <w14:solidFill>
              <w14:schemeClr w14:val="tx1"/>
            </w14:solidFill>
          </w14:textFill>
        </w:rPr>
        <w:t xml:space="preserve">                                      </w:t>
      </w:r>
    </w:p>
    <w:p>
      <w:pPr>
        <w:spacing w:line="360" w:lineRule="auto"/>
        <w:jc w:val="left"/>
        <w:rPr>
          <w:rFonts w:eastAsia="仿宋_GB2312"/>
          <w:color w:val="000000" w:themeColor="text1"/>
          <w:sz w:val="30"/>
          <w:szCs w:val="30"/>
          <w:u w:val="single"/>
          <w14:textFill>
            <w14:solidFill>
              <w14:schemeClr w14:val="tx1"/>
            </w14:solidFill>
          </w14:textFill>
        </w:rPr>
      </w:pPr>
    </w:p>
    <w:p>
      <w:pPr>
        <w:spacing w:line="360" w:lineRule="auto"/>
        <w:ind w:left="1899" w:hanging="1899" w:hangingChars="633"/>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w:t>
      </w:r>
    </w:p>
    <w:p>
      <w:pPr>
        <w:spacing w:line="360" w:lineRule="auto"/>
        <w:ind w:left="1899" w:hanging="1899" w:hangingChars="633"/>
        <w:rPr>
          <w:rFonts w:eastAsia="仿宋_GB2312"/>
          <w:color w:val="000000" w:themeColor="text1"/>
          <w:sz w:val="30"/>
          <w:szCs w:val="30"/>
          <w14:textFill>
            <w14:solidFill>
              <w14:schemeClr w14:val="tx1"/>
            </w14:solidFill>
          </w14:textFill>
        </w:rPr>
      </w:pPr>
    </w:p>
    <w:p>
      <w:pPr>
        <w:spacing w:line="360" w:lineRule="auto"/>
        <w:ind w:left="1899" w:hanging="1899" w:hangingChars="633"/>
        <w:rPr>
          <w:rFonts w:eastAsia="仿宋_GB2312"/>
          <w:color w:val="000000" w:themeColor="text1"/>
          <w:sz w:val="30"/>
          <w:szCs w:val="30"/>
          <w14:textFill>
            <w14:solidFill>
              <w14:schemeClr w14:val="tx1"/>
            </w14:solidFill>
          </w14:textFill>
        </w:rPr>
      </w:pPr>
    </w:p>
    <w:p>
      <w:pPr>
        <w:spacing w:line="360" w:lineRule="auto"/>
        <w:ind w:left="1899" w:hanging="1899" w:hangingChars="633"/>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 xml:space="preserve">8 </w:t>
      </w:r>
      <w:r>
        <w:rPr>
          <w:rFonts w:hint="eastAsia" w:ascii="仿宋_GB2312"/>
          <w:color w:val="000000" w:themeColor="text1"/>
          <w:sz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预付款担保</w:t>
      </w:r>
      <w:r>
        <w:rPr>
          <w:rFonts w:hint="eastAsia"/>
          <w:color w:val="000000"/>
          <w:sz w:val="32"/>
        </w:rPr>
        <w:t>（本次不提供）</w:t>
      </w:r>
    </w:p>
    <w:p>
      <w:pPr>
        <w:spacing w:line="360" w:lineRule="auto"/>
        <w:jc w:val="center"/>
      </w:pPr>
      <w:r>
        <w:rPr>
          <w:rFonts w:eastAsia="仿宋_GB2312"/>
          <w:sz w:val="28"/>
          <w:szCs w:val="28"/>
        </w:rPr>
        <w:t>(</w:t>
      </w:r>
      <w:r>
        <w:rPr>
          <w:rFonts w:hint="eastAsia" w:eastAsia="仿宋_GB2312"/>
          <w:sz w:val="28"/>
          <w:szCs w:val="28"/>
        </w:rPr>
        <w:t>示例格式，</w:t>
      </w:r>
      <w:r>
        <w:rPr>
          <w:rFonts w:eastAsia="仿宋_GB2312"/>
          <w:sz w:val="28"/>
          <w:szCs w:val="28"/>
        </w:rPr>
        <w:t>以最终</w:t>
      </w:r>
      <w:r>
        <w:rPr>
          <w:rFonts w:hint="eastAsia" w:eastAsia="仿宋_GB2312"/>
          <w:sz w:val="28"/>
          <w:szCs w:val="28"/>
        </w:rPr>
        <w:t>银行开具</w:t>
      </w:r>
      <w:r>
        <w:rPr>
          <w:rFonts w:eastAsia="仿宋_GB2312"/>
          <w:sz w:val="28"/>
          <w:szCs w:val="28"/>
        </w:rPr>
        <w:t>履约担保格式</w:t>
      </w:r>
      <w:r>
        <w:rPr>
          <w:rFonts w:hint="eastAsia" w:eastAsia="仿宋_GB2312"/>
          <w:sz w:val="28"/>
          <w:szCs w:val="28"/>
        </w:rPr>
        <w:t>为准</w:t>
      </w:r>
      <w:r>
        <w:rPr>
          <w:rFonts w:eastAsia="仿宋_GB2312"/>
          <w:sz w:val="28"/>
          <w:szCs w:val="28"/>
        </w:rPr>
        <w:t>）</w:t>
      </w:r>
    </w:p>
    <w:p>
      <w:pPr>
        <w:spacing w:line="360" w:lineRule="auto"/>
        <w:rPr>
          <w:rFonts w:eastAsia="仿宋_GB2312"/>
          <w:color w:val="000000" w:themeColor="text1"/>
          <w:sz w:val="30"/>
          <w:szCs w:val="30"/>
          <w14:textFill>
            <w14:solidFill>
              <w14:schemeClr w14:val="tx1"/>
            </w14:solidFill>
          </w14:textFill>
        </w:rPr>
      </w:pP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（发包人名称）：</w:t>
      </w:r>
    </w:p>
    <w:p>
      <w:pPr>
        <w:spacing w:line="360" w:lineRule="auto"/>
        <w:rPr>
          <w:rFonts w:eastAsia="仿宋_GB2312"/>
          <w:color w:val="000000" w:themeColor="text1"/>
          <w:sz w:val="30"/>
          <w:szCs w:val="30"/>
          <w14:textFill>
            <w14:solidFill>
              <w14:schemeClr w14:val="tx1"/>
            </w14:solidFill>
          </w14:textFill>
        </w:rPr>
      </w:pPr>
    </w:p>
    <w:p>
      <w:pPr>
        <w:spacing w:line="36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根据</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（承包人名称）（以下称“承包人”）与</w:t>
      </w:r>
    </w:p>
    <w:p>
      <w:pPr>
        <w:spacing w:line="360" w:lineRule="auto"/>
        <w:rPr>
          <w:rFonts w:eastAsia="仿宋_GB2312"/>
          <w:color w:val="000000" w:themeColor="text1"/>
          <w:sz w:val="30"/>
          <w:szCs w:val="30"/>
          <w14:textFill>
            <w14:solidFill>
              <w14:schemeClr w14:val="tx1"/>
            </w14:solidFill>
          </w14:textFill>
        </w:rPr>
      </w:pP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（发包人名称）（以下简称“发包人”）</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于</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日签订的</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（工程名称）《建设工程施工合同》，承包人按约定的金额向你方提交一份预付款担保，即有权得到你方支付相等金额的预付款。我方愿意就你方提供给承包人的预付款为承包人提供连带责任担保。</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1. </w:t>
      </w:r>
      <w:r>
        <w:rPr>
          <w:rFonts w:hint="eastAsia" w:eastAsia="仿宋_GB2312"/>
          <w:color w:val="000000" w:themeColor="text1"/>
          <w:sz w:val="30"/>
          <w:szCs w:val="30"/>
          <w14:textFill>
            <w14:solidFill>
              <w14:schemeClr w14:val="tx1"/>
            </w14:solidFill>
          </w14:textFill>
        </w:rPr>
        <w:t>担保金额人民币（大写）</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元（</w:t>
      </w:r>
      <w:r>
        <w:rPr>
          <w:rFonts w:eastAsia="仿宋_GB2312"/>
          <w:color w:val="000000" w:themeColor="text1"/>
          <w:sz w:val="30"/>
          <w:szCs w:val="30"/>
          <w14:textFill>
            <w14:solidFill>
              <w14:schemeClr w14:val="tx1"/>
            </w14:solidFill>
          </w14:textFill>
        </w:rPr>
        <w:t>¥</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2. </w:t>
      </w:r>
      <w:r>
        <w:rPr>
          <w:rFonts w:hint="eastAsia" w:eastAsia="仿宋_GB2312"/>
          <w:color w:val="000000" w:themeColor="text1"/>
          <w:sz w:val="30"/>
          <w:szCs w:val="30"/>
          <w14:textFill>
            <w14:solidFill>
              <w14:schemeClr w14:val="tx1"/>
            </w14:solidFill>
          </w14:textFill>
        </w:rPr>
        <w:t>担保有效期自预付款支付给承包人起生效，至你方签发的进度款支付证书说明已完全扣清止。</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3. </w:t>
      </w:r>
      <w:r>
        <w:rPr>
          <w:rFonts w:hint="eastAsia" w:eastAsia="仿宋_GB2312"/>
          <w:color w:val="000000" w:themeColor="text1"/>
          <w:sz w:val="30"/>
          <w:szCs w:val="30"/>
          <w14:textFill>
            <w14:solidFill>
              <w14:schemeClr w14:val="tx1"/>
            </w14:solidFill>
          </w14:textFill>
        </w:rPr>
        <w:t>在本保函有效期内，因承包人违反合同约定的义务而要求收回预付款时，我方在收到你方的书面通知后，在７天内无条件支付。但本保函的担保金额，在任何时候不应超过预付款金额减去你方按合同约定在向承包人签发的进度款支付证书中扣除的金额。</w:t>
      </w:r>
    </w:p>
    <w:p>
      <w:pPr>
        <w:spacing w:line="36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4. </w:t>
      </w:r>
      <w:r>
        <w:rPr>
          <w:rFonts w:hint="eastAsia" w:eastAsia="仿宋_GB2312"/>
          <w:color w:val="000000" w:themeColor="text1"/>
          <w:sz w:val="30"/>
          <w:szCs w:val="30"/>
          <w14:textFill>
            <w14:solidFill>
              <w14:schemeClr w14:val="tx1"/>
            </w14:solidFill>
          </w14:textFill>
        </w:rPr>
        <w:t>你方和承包人按合同约定变更合同时，我方承担本保函规定的义务不变。</w:t>
      </w:r>
    </w:p>
    <w:p>
      <w:pPr>
        <w:spacing w:line="360" w:lineRule="auto"/>
        <w:ind w:firstLine="600" w:firstLineChars="200"/>
        <w:jc w:val="left"/>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5. </w:t>
      </w:r>
      <w:r>
        <w:rPr>
          <w:rFonts w:hint="eastAsia" w:eastAsia="仿宋_GB2312"/>
          <w:color w:val="000000" w:themeColor="text1"/>
          <w:sz w:val="30"/>
          <w:szCs w:val="30"/>
          <w14:textFill>
            <w14:solidFill>
              <w14:schemeClr w14:val="tx1"/>
            </w14:solidFill>
          </w14:textFill>
        </w:rPr>
        <w:t>因本保函发生的纠纷，可由双方协商解决，协商不成的，任何一方均可向建设</w:t>
      </w:r>
      <w:r>
        <w:rPr>
          <w:rFonts w:hint="eastAsia" w:ascii="仿宋" w:hAnsi="仿宋" w:eastAsia="仿宋" w:cs="仿宋"/>
          <w:color w:val="000000" w:themeColor="text1"/>
          <w:sz w:val="30"/>
          <w:szCs w:val="32"/>
          <w:u w:val="single"/>
          <w14:textFill>
            <w14:solidFill>
              <w14:schemeClr w14:val="tx1"/>
            </w14:solidFill>
          </w14:textFill>
        </w:rPr>
        <w:t>工程所在地有管辖权的</w:t>
      </w:r>
      <w:r>
        <w:rPr>
          <w:rFonts w:hint="eastAsia" w:eastAsia="仿宋_GB2312"/>
          <w:color w:val="000000" w:themeColor="text1"/>
          <w:sz w:val="30"/>
          <w:szCs w:val="32"/>
          <w14:textFill>
            <w14:solidFill>
              <w14:schemeClr w14:val="tx1"/>
            </w14:solidFill>
          </w14:textFill>
        </w:rPr>
        <w:t>人民法院起诉解决</w:t>
      </w:r>
      <w:r>
        <w:rPr>
          <w:rFonts w:hint="eastAsia" w:eastAsia="仿宋_GB2312"/>
          <w:color w:val="000000" w:themeColor="text1"/>
          <w:sz w:val="30"/>
          <w:szCs w:val="30"/>
          <w14:textFill>
            <w14:solidFill>
              <w14:schemeClr w14:val="tx1"/>
            </w14:solidFill>
          </w14:textFill>
        </w:rPr>
        <w:t>。</w:t>
      </w:r>
    </w:p>
    <w:p>
      <w:pPr>
        <w:spacing w:line="360" w:lineRule="auto"/>
        <w:ind w:firstLine="600" w:firstLineChars="200"/>
        <w:jc w:val="left"/>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6. </w:t>
      </w:r>
      <w:r>
        <w:rPr>
          <w:rFonts w:hint="eastAsia" w:eastAsia="仿宋_GB2312"/>
          <w:color w:val="000000" w:themeColor="text1"/>
          <w:sz w:val="30"/>
          <w:szCs w:val="30"/>
          <w14:textFill>
            <w14:solidFill>
              <w14:schemeClr w14:val="tx1"/>
            </w14:solidFill>
          </w14:textFill>
        </w:rPr>
        <w:t>本保函自我方法定代表人（或其授权代理人）签字并盖章之日起生效。</w:t>
      </w:r>
    </w:p>
    <w:p>
      <w:pPr>
        <w:spacing w:line="360" w:lineRule="auto"/>
        <w:rPr>
          <w:rFonts w:eastAsia="仿宋_GB2312"/>
          <w:color w:val="000000" w:themeColor="text1"/>
          <w:sz w:val="30"/>
          <w:szCs w:val="30"/>
          <w14:textFill>
            <w14:solidFill>
              <w14:schemeClr w14:val="tx1"/>
            </w14:solidFill>
          </w14:textFill>
        </w:rPr>
      </w:pPr>
    </w:p>
    <w:p>
      <w:pPr>
        <w:spacing w:line="360" w:lineRule="auto"/>
        <w:rPr>
          <w:rFonts w:eastAsia="仿宋_GB2312"/>
          <w:color w:val="000000" w:themeColor="text1"/>
          <w:sz w:val="30"/>
          <w:szCs w:val="30"/>
          <w14:textFill>
            <w14:solidFill>
              <w14:schemeClr w14:val="tx1"/>
            </w14:solidFill>
          </w14:textFill>
        </w:rPr>
      </w:pP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担保人：</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（盖单位章）</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法定代表人或其委托代理人：</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（签字）</w:t>
      </w:r>
    </w:p>
    <w:p>
      <w:pPr>
        <w:spacing w:line="36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地</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址：</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邮政编码：</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电</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话：</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p>
    <w:p>
      <w:pPr>
        <w:spacing w:line="360" w:lineRule="auto"/>
        <w:rPr>
          <w:rFonts w:eastAsia="仿宋_GB2312"/>
          <w:color w:val="000000" w:themeColor="text1"/>
          <w:sz w:val="30"/>
          <w:szCs w:val="30"/>
          <w:u w:val="single"/>
          <w14:textFill>
            <w14:solidFill>
              <w14:schemeClr w14:val="tx1"/>
            </w14:solidFill>
          </w14:textFill>
        </w:rPr>
      </w:pPr>
      <w:r>
        <w:rPr>
          <w:rFonts w:hint="eastAsia" w:eastAsia="仿宋_GB2312"/>
          <w:color w:val="000000" w:themeColor="text1"/>
          <w:sz w:val="30"/>
          <w:szCs w:val="30"/>
          <w14:textFill>
            <w14:solidFill>
              <w14:schemeClr w14:val="tx1"/>
            </w14:solidFill>
          </w14:textFill>
        </w:rPr>
        <w:t>传</w:t>
      </w:r>
      <w:r>
        <w:rPr>
          <w:rFonts w:eastAsia="仿宋_GB2312"/>
          <w:color w:val="000000" w:themeColor="text1"/>
          <w:sz w:val="30"/>
          <w:szCs w:val="30"/>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真：</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r>
        <w:rPr>
          <w:rFonts w:eastAsia="仿宋_GB2312"/>
          <w:color w:val="000000" w:themeColor="text1"/>
          <w:sz w:val="30"/>
          <w:szCs w:val="30"/>
          <w:u w:val="single"/>
          <w14:textFill>
            <w14:solidFill>
              <w14:schemeClr w14:val="tx1"/>
            </w14:solidFill>
          </w14:textFill>
        </w:rPr>
        <w:tab/>
      </w:r>
    </w:p>
    <w:p>
      <w:pPr>
        <w:spacing w:line="360" w:lineRule="auto"/>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  </w:t>
      </w:r>
    </w:p>
    <w:p>
      <w:pPr>
        <w:spacing w:line="360" w:lineRule="auto"/>
        <w:rPr>
          <w:rFonts w:eastAsia="仿宋_GB2312"/>
          <w:color w:val="000000" w:themeColor="text1"/>
          <w:sz w:val="30"/>
          <w:szCs w:val="30"/>
          <w:u w:val="single"/>
          <w14:textFill>
            <w14:solidFill>
              <w14:schemeClr w14:val="tx1"/>
            </w14:solidFill>
          </w14:textFill>
        </w:rPr>
      </w:pPr>
    </w:p>
    <w:p>
      <w:pPr>
        <w:spacing w:line="360" w:lineRule="auto"/>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 xml:space="preserve">            </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年</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月</w:t>
      </w:r>
      <w:r>
        <w:rPr>
          <w:rFonts w:eastAsia="仿宋_GB2312"/>
          <w:color w:val="000000" w:themeColor="text1"/>
          <w:sz w:val="30"/>
          <w:szCs w:val="30"/>
          <w:u w:val="single"/>
          <w14:textFill>
            <w14:solidFill>
              <w14:schemeClr w14:val="tx1"/>
            </w14:solidFill>
          </w14:textFill>
        </w:rPr>
        <w:t xml:space="preserve">      </w:t>
      </w:r>
      <w:r>
        <w:rPr>
          <w:rFonts w:hint="eastAsia" w:eastAsia="仿宋_GB2312"/>
          <w:color w:val="000000" w:themeColor="text1"/>
          <w:sz w:val="30"/>
          <w:szCs w:val="30"/>
          <w14:textFill>
            <w14:solidFill>
              <w14:schemeClr w14:val="tx1"/>
            </w14:solidFill>
          </w14:textFill>
        </w:rPr>
        <w:t>日</w:t>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eastAsia="仿宋_GB2312"/>
          <w:b/>
          <w:color w:val="000000" w:themeColor="text1"/>
          <w:sz w:val="30"/>
          <w:szCs w:val="30"/>
          <w14:textFill>
            <w14:solidFill>
              <w14:schemeClr w14:val="tx1"/>
            </w14:solidFill>
          </w14:textFill>
        </w:rPr>
        <w:br w:type="page"/>
      </w: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9</w:t>
      </w:r>
      <w:r>
        <w:rPr>
          <w:rFonts w:hint="eastAsia" w:ascii="仿宋_GB2312"/>
          <w:color w:val="000000" w:themeColor="text1"/>
          <w:sz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color w:val="000000" w:themeColor="text1"/>
          <w:sz w:val="32"/>
          <w14:textFill>
            <w14:solidFill>
              <w14:schemeClr w14:val="tx1"/>
            </w14:solidFill>
          </w14:textFill>
        </w:rPr>
        <w:t>9-1</w:t>
      </w:r>
      <w:r>
        <w:rPr>
          <w:rFonts w:hint="eastAsia"/>
          <w:color w:val="000000" w:themeColor="text1"/>
          <w:sz w:val="32"/>
          <w14:textFill>
            <w14:solidFill>
              <w14:schemeClr w14:val="tx1"/>
            </w14:solidFill>
          </w14:textFill>
        </w:rPr>
        <w:t>：材料暂估价表</w:t>
      </w:r>
    </w:p>
    <w:tbl>
      <w:tblPr>
        <w:tblStyle w:val="37"/>
        <w:tblW w:w="9769" w:type="dxa"/>
        <w:tblInd w:w="-114"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993"/>
        <w:gridCol w:w="1984"/>
        <w:gridCol w:w="851"/>
        <w:gridCol w:w="774"/>
        <w:gridCol w:w="1352"/>
        <w:gridCol w:w="1418"/>
        <w:gridCol w:w="2397"/>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single" w:color="auto" w:sz="12" w:space="0"/>
              <w:bottom w:val="double" w:color="auto" w:sz="6" w:space="0"/>
            </w:tcBorders>
          </w:tcPr>
          <w:p>
            <w:pPr>
              <w:pStyle w:val="19"/>
            </w:pPr>
            <w:r>
              <w:rPr>
                <w:rFonts w:hint="eastAsia"/>
              </w:rPr>
              <w:t>序号</w:t>
            </w:r>
          </w:p>
        </w:tc>
        <w:tc>
          <w:tcPr>
            <w:tcW w:w="1984" w:type="dxa"/>
            <w:tcBorders>
              <w:top w:val="single" w:color="auto" w:sz="12" w:space="0"/>
              <w:bottom w:val="double" w:color="auto" w:sz="6" w:space="0"/>
            </w:tcBorders>
          </w:tcPr>
          <w:p>
            <w:pPr>
              <w:pStyle w:val="19"/>
            </w:pPr>
            <w:r>
              <w:rPr>
                <w:rFonts w:hint="eastAsia"/>
              </w:rPr>
              <w:t>名称</w:t>
            </w:r>
          </w:p>
        </w:tc>
        <w:tc>
          <w:tcPr>
            <w:tcW w:w="851" w:type="dxa"/>
            <w:tcBorders>
              <w:top w:val="single" w:color="auto" w:sz="12" w:space="0"/>
              <w:bottom w:val="double" w:color="auto" w:sz="6" w:space="0"/>
            </w:tcBorders>
          </w:tcPr>
          <w:p>
            <w:pPr>
              <w:pStyle w:val="19"/>
            </w:pPr>
            <w:r>
              <w:rPr>
                <w:rFonts w:hint="eastAsia"/>
              </w:rPr>
              <w:t>单位</w:t>
            </w:r>
          </w:p>
        </w:tc>
        <w:tc>
          <w:tcPr>
            <w:tcW w:w="774" w:type="dxa"/>
            <w:tcBorders>
              <w:top w:val="single" w:color="auto" w:sz="12" w:space="0"/>
              <w:bottom w:val="double" w:color="auto" w:sz="6" w:space="0"/>
            </w:tcBorders>
          </w:tcPr>
          <w:p>
            <w:pPr>
              <w:pStyle w:val="19"/>
            </w:pPr>
            <w:r>
              <w:rPr>
                <w:rFonts w:hint="eastAsia"/>
              </w:rPr>
              <w:t>数量</w:t>
            </w:r>
          </w:p>
        </w:tc>
        <w:tc>
          <w:tcPr>
            <w:tcW w:w="1352" w:type="dxa"/>
            <w:tcBorders>
              <w:top w:val="single" w:color="auto" w:sz="12" w:space="0"/>
              <w:bottom w:val="double" w:color="auto" w:sz="6" w:space="0"/>
            </w:tcBorders>
          </w:tcPr>
          <w:p>
            <w:pPr>
              <w:pStyle w:val="19"/>
            </w:pPr>
            <w:r>
              <w:rPr>
                <w:rFonts w:hint="eastAsia"/>
              </w:rPr>
              <w:t>单价（元）</w:t>
            </w:r>
          </w:p>
        </w:tc>
        <w:tc>
          <w:tcPr>
            <w:tcW w:w="1418" w:type="dxa"/>
            <w:tcBorders>
              <w:top w:val="single" w:color="auto" w:sz="12" w:space="0"/>
              <w:bottom w:val="double" w:color="auto" w:sz="6" w:space="0"/>
            </w:tcBorders>
          </w:tcPr>
          <w:p>
            <w:pPr>
              <w:pStyle w:val="19"/>
            </w:pPr>
            <w:r>
              <w:rPr>
                <w:rFonts w:hint="eastAsia"/>
              </w:rPr>
              <w:t>合价（元）</w:t>
            </w:r>
          </w:p>
        </w:tc>
        <w:tc>
          <w:tcPr>
            <w:tcW w:w="2397" w:type="dxa"/>
            <w:tcBorders>
              <w:top w:val="single" w:color="auto" w:sz="12" w:space="0"/>
              <w:bottom w:val="double" w:color="auto" w:sz="6" w:space="0"/>
            </w:tcBorders>
          </w:tcPr>
          <w:p>
            <w:pPr>
              <w:pStyle w:val="19"/>
            </w:pPr>
            <w:r>
              <w:rPr>
                <w:rFonts w:hint="eastAsia"/>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double" w:color="auto" w:sz="6" w:space="0"/>
              <w:bottom w:val="single" w:color="auto" w:sz="6" w:space="0"/>
            </w:tcBorders>
          </w:tcPr>
          <w:p>
            <w:pPr>
              <w:pStyle w:val="19"/>
            </w:pPr>
            <w:r>
              <w:rPr>
                <w:rFonts w:hint="eastAsia"/>
              </w:rPr>
              <w:t>/</w:t>
            </w:r>
          </w:p>
        </w:tc>
        <w:tc>
          <w:tcPr>
            <w:tcW w:w="1984" w:type="dxa"/>
            <w:tcBorders>
              <w:top w:val="double" w:color="auto" w:sz="6" w:space="0"/>
              <w:bottom w:val="single" w:color="auto" w:sz="6" w:space="0"/>
            </w:tcBorders>
          </w:tcPr>
          <w:p>
            <w:pPr>
              <w:pStyle w:val="19"/>
            </w:pPr>
            <w:r>
              <w:rPr>
                <w:rFonts w:hint="eastAsia"/>
              </w:rPr>
              <w:t>/</w:t>
            </w:r>
          </w:p>
        </w:tc>
        <w:tc>
          <w:tcPr>
            <w:tcW w:w="851" w:type="dxa"/>
            <w:tcBorders>
              <w:top w:val="double" w:color="auto" w:sz="6" w:space="0"/>
              <w:bottom w:val="single" w:color="auto" w:sz="6" w:space="0"/>
            </w:tcBorders>
          </w:tcPr>
          <w:p>
            <w:pPr>
              <w:pStyle w:val="19"/>
            </w:pPr>
            <w:r>
              <w:rPr>
                <w:rFonts w:hint="eastAsia"/>
              </w:rPr>
              <w:t>/</w:t>
            </w:r>
          </w:p>
        </w:tc>
        <w:tc>
          <w:tcPr>
            <w:tcW w:w="774" w:type="dxa"/>
            <w:tcBorders>
              <w:top w:val="double" w:color="auto" w:sz="6" w:space="0"/>
              <w:bottom w:val="single" w:color="auto" w:sz="6" w:space="0"/>
            </w:tcBorders>
          </w:tcPr>
          <w:p>
            <w:pPr>
              <w:pStyle w:val="19"/>
            </w:pPr>
            <w:r>
              <w:rPr>
                <w:rFonts w:hint="eastAsia"/>
              </w:rPr>
              <w:t>/</w:t>
            </w:r>
          </w:p>
        </w:tc>
        <w:tc>
          <w:tcPr>
            <w:tcW w:w="1352" w:type="dxa"/>
            <w:tcBorders>
              <w:top w:val="double" w:color="auto" w:sz="6" w:space="0"/>
              <w:bottom w:val="single" w:color="auto" w:sz="6" w:space="0"/>
            </w:tcBorders>
          </w:tcPr>
          <w:p>
            <w:pPr>
              <w:pStyle w:val="19"/>
            </w:pPr>
            <w:r>
              <w:rPr>
                <w:rFonts w:hint="eastAsia"/>
              </w:rPr>
              <w:t>/</w:t>
            </w:r>
          </w:p>
        </w:tc>
        <w:tc>
          <w:tcPr>
            <w:tcW w:w="1418" w:type="dxa"/>
            <w:tcBorders>
              <w:top w:val="double" w:color="auto" w:sz="6" w:space="0"/>
              <w:bottom w:val="single" w:color="auto" w:sz="6" w:space="0"/>
            </w:tcBorders>
          </w:tcPr>
          <w:p>
            <w:pPr>
              <w:pStyle w:val="19"/>
            </w:pPr>
            <w:r>
              <w:rPr>
                <w:rFonts w:hint="eastAsia"/>
              </w:rPr>
              <w:t>/</w:t>
            </w:r>
          </w:p>
        </w:tc>
        <w:tc>
          <w:tcPr>
            <w:tcW w:w="2397" w:type="dxa"/>
            <w:tcBorders>
              <w:top w:val="double" w:color="auto" w:sz="6" w:space="0"/>
              <w:bottom w:val="single" w:color="auto" w:sz="6" w:space="0"/>
            </w:tcBorders>
          </w:tcPr>
          <w:p>
            <w:pPr>
              <w:pStyle w:val="19"/>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pPr>
              <w:pStyle w:val="19"/>
            </w:pPr>
            <w:r>
              <w:rPr>
                <w:rFonts w:hint="eastAsia"/>
              </w:rPr>
              <w:t>/</w:t>
            </w:r>
          </w:p>
        </w:tc>
        <w:tc>
          <w:tcPr>
            <w:tcW w:w="1984" w:type="dxa"/>
          </w:tcPr>
          <w:p>
            <w:pPr>
              <w:pStyle w:val="19"/>
            </w:pPr>
            <w:r>
              <w:rPr>
                <w:rFonts w:hint="eastAsia"/>
              </w:rPr>
              <w:t>/</w:t>
            </w:r>
          </w:p>
        </w:tc>
        <w:tc>
          <w:tcPr>
            <w:tcW w:w="851" w:type="dxa"/>
          </w:tcPr>
          <w:p>
            <w:pPr>
              <w:pStyle w:val="19"/>
            </w:pPr>
            <w:r>
              <w:rPr>
                <w:rFonts w:hint="eastAsia"/>
              </w:rPr>
              <w:t>/</w:t>
            </w:r>
          </w:p>
        </w:tc>
        <w:tc>
          <w:tcPr>
            <w:tcW w:w="774" w:type="dxa"/>
          </w:tcPr>
          <w:p>
            <w:pPr>
              <w:pStyle w:val="19"/>
            </w:pPr>
            <w:r>
              <w:rPr>
                <w:rFonts w:hint="eastAsia"/>
              </w:rPr>
              <w:t>/</w:t>
            </w:r>
          </w:p>
        </w:tc>
        <w:tc>
          <w:tcPr>
            <w:tcW w:w="1352" w:type="dxa"/>
          </w:tcPr>
          <w:p>
            <w:pPr>
              <w:pStyle w:val="19"/>
            </w:pPr>
            <w:r>
              <w:rPr>
                <w:rFonts w:hint="eastAsia"/>
              </w:rPr>
              <w:t>/</w:t>
            </w:r>
          </w:p>
        </w:tc>
        <w:tc>
          <w:tcPr>
            <w:tcW w:w="1418" w:type="dxa"/>
          </w:tcPr>
          <w:p>
            <w:pPr>
              <w:pStyle w:val="19"/>
            </w:pPr>
            <w:r>
              <w:rPr>
                <w:rFonts w:hint="eastAsia"/>
              </w:rPr>
              <w:t>/</w:t>
            </w:r>
          </w:p>
        </w:tc>
        <w:tc>
          <w:tcPr>
            <w:tcW w:w="2397" w:type="dxa"/>
          </w:tcPr>
          <w:p>
            <w:pPr>
              <w:pStyle w:val="19"/>
            </w:pPr>
            <w:r>
              <w:rPr>
                <w:rFonts w:hint="eastAsia"/>
              </w:rPr>
              <w:t>/</w:t>
            </w:r>
          </w:p>
        </w:tc>
      </w:tr>
    </w:tbl>
    <w:p>
      <w:pPr>
        <w:spacing w:before="156" w:beforeLines="50" w:after="156" w:afterLines="50" w:line="440" w:lineRule="exact"/>
        <w:jc w:val="center"/>
        <w:rPr>
          <w:rFonts w:eastAsia="黑体"/>
          <w:color w:val="000000" w:themeColor="text1"/>
          <w:sz w:val="30"/>
          <w:szCs w:val="30"/>
          <w14:textFill>
            <w14:solidFill>
              <w14:schemeClr w14:val="tx1"/>
            </w14:solidFill>
          </w14:textFill>
        </w:rPr>
      </w:pPr>
      <w:r>
        <w:rPr>
          <w:rFonts w:eastAsia="黑体"/>
          <w:color w:val="000000" w:themeColor="text1"/>
          <w:sz w:val="30"/>
          <w:szCs w:val="30"/>
          <w14:textFill>
            <w14:solidFill>
              <w14:schemeClr w14:val="tx1"/>
            </w14:solidFill>
          </w14:textFill>
        </w:rPr>
        <w:t>9-2</w:t>
      </w:r>
      <w:r>
        <w:rPr>
          <w:rFonts w:hint="eastAsia" w:eastAsia="黑体"/>
          <w:color w:val="000000" w:themeColor="text1"/>
          <w:sz w:val="30"/>
          <w:szCs w:val="30"/>
          <w14:textFill>
            <w14:solidFill>
              <w14:schemeClr w14:val="tx1"/>
            </w14:solidFill>
          </w14:textFill>
        </w:rPr>
        <w:t>：工程设备暂估价表</w:t>
      </w:r>
    </w:p>
    <w:tbl>
      <w:tblPr>
        <w:tblStyle w:val="37"/>
        <w:tblW w:w="9784" w:type="dxa"/>
        <w:tblInd w:w="-114"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993"/>
        <w:gridCol w:w="1984"/>
        <w:gridCol w:w="851"/>
        <w:gridCol w:w="774"/>
        <w:gridCol w:w="1352"/>
        <w:gridCol w:w="1418"/>
        <w:gridCol w:w="2412"/>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single" w:color="auto" w:sz="12" w:space="0"/>
              <w:bottom w:val="double" w:color="auto" w:sz="6" w:space="0"/>
            </w:tcBorders>
          </w:tcPr>
          <w:p>
            <w:pPr>
              <w:pStyle w:val="19"/>
            </w:pPr>
            <w:r>
              <w:rPr>
                <w:rFonts w:hint="eastAsia"/>
              </w:rPr>
              <w:t>序号</w:t>
            </w:r>
          </w:p>
        </w:tc>
        <w:tc>
          <w:tcPr>
            <w:tcW w:w="1984" w:type="dxa"/>
            <w:tcBorders>
              <w:top w:val="single" w:color="auto" w:sz="12" w:space="0"/>
              <w:bottom w:val="double" w:color="auto" w:sz="6" w:space="0"/>
            </w:tcBorders>
          </w:tcPr>
          <w:p>
            <w:pPr>
              <w:pStyle w:val="19"/>
            </w:pPr>
            <w:r>
              <w:rPr>
                <w:rFonts w:hint="eastAsia"/>
              </w:rPr>
              <w:t>名称</w:t>
            </w:r>
          </w:p>
        </w:tc>
        <w:tc>
          <w:tcPr>
            <w:tcW w:w="851" w:type="dxa"/>
            <w:tcBorders>
              <w:top w:val="single" w:color="auto" w:sz="12" w:space="0"/>
              <w:bottom w:val="double" w:color="auto" w:sz="6" w:space="0"/>
            </w:tcBorders>
          </w:tcPr>
          <w:p>
            <w:pPr>
              <w:pStyle w:val="19"/>
            </w:pPr>
            <w:r>
              <w:rPr>
                <w:rFonts w:hint="eastAsia"/>
              </w:rPr>
              <w:t>单位</w:t>
            </w:r>
          </w:p>
        </w:tc>
        <w:tc>
          <w:tcPr>
            <w:tcW w:w="774" w:type="dxa"/>
            <w:tcBorders>
              <w:top w:val="single" w:color="auto" w:sz="12" w:space="0"/>
              <w:bottom w:val="double" w:color="auto" w:sz="6" w:space="0"/>
            </w:tcBorders>
          </w:tcPr>
          <w:p>
            <w:pPr>
              <w:pStyle w:val="19"/>
            </w:pPr>
            <w:r>
              <w:rPr>
                <w:rFonts w:hint="eastAsia"/>
              </w:rPr>
              <w:t>数量</w:t>
            </w:r>
          </w:p>
        </w:tc>
        <w:tc>
          <w:tcPr>
            <w:tcW w:w="1352" w:type="dxa"/>
            <w:tcBorders>
              <w:top w:val="single" w:color="auto" w:sz="12" w:space="0"/>
              <w:bottom w:val="double" w:color="auto" w:sz="6" w:space="0"/>
            </w:tcBorders>
          </w:tcPr>
          <w:p>
            <w:pPr>
              <w:pStyle w:val="19"/>
            </w:pPr>
            <w:r>
              <w:rPr>
                <w:rFonts w:hint="eastAsia"/>
              </w:rPr>
              <w:t>单价（元）</w:t>
            </w:r>
          </w:p>
        </w:tc>
        <w:tc>
          <w:tcPr>
            <w:tcW w:w="1418" w:type="dxa"/>
            <w:tcBorders>
              <w:top w:val="single" w:color="auto" w:sz="12" w:space="0"/>
              <w:bottom w:val="double" w:color="auto" w:sz="6" w:space="0"/>
            </w:tcBorders>
          </w:tcPr>
          <w:p>
            <w:pPr>
              <w:pStyle w:val="19"/>
            </w:pPr>
            <w:r>
              <w:rPr>
                <w:rFonts w:hint="eastAsia"/>
              </w:rPr>
              <w:t>合价（元）</w:t>
            </w:r>
          </w:p>
        </w:tc>
        <w:tc>
          <w:tcPr>
            <w:tcW w:w="2412" w:type="dxa"/>
            <w:tcBorders>
              <w:top w:val="single" w:color="auto" w:sz="12" w:space="0"/>
              <w:bottom w:val="double" w:color="auto" w:sz="6" w:space="0"/>
            </w:tcBorders>
          </w:tcPr>
          <w:p>
            <w:pPr>
              <w:pStyle w:val="19"/>
            </w:pPr>
            <w:r>
              <w:rPr>
                <w:rFonts w:hint="eastAsia"/>
              </w:rPr>
              <w:t>备注</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Borders>
              <w:top w:val="double" w:color="auto" w:sz="6" w:space="0"/>
              <w:bottom w:val="single" w:color="auto" w:sz="6" w:space="0"/>
            </w:tcBorders>
          </w:tcPr>
          <w:p>
            <w:pPr>
              <w:pStyle w:val="19"/>
            </w:pPr>
            <w:r>
              <w:rPr>
                <w:rFonts w:hint="eastAsia"/>
              </w:rPr>
              <w:t>/</w:t>
            </w:r>
          </w:p>
        </w:tc>
        <w:tc>
          <w:tcPr>
            <w:tcW w:w="1984" w:type="dxa"/>
            <w:tcBorders>
              <w:top w:val="double" w:color="auto" w:sz="6" w:space="0"/>
              <w:bottom w:val="single" w:color="auto" w:sz="6" w:space="0"/>
            </w:tcBorders>
          </w:tcPr>
          <w:p>
            <w:pPr>
              <w:pStyle w:val="19"/>
            </w:pPr>
            <w:r>
              <w:rPr>
                <w:rFonts w:hint="eastAsia"/>
              </w:rPr>
              <w:t>/</w:t>
            </w:r>
          </w:p>
        </w:tc>
        <w:tc>
          <w:tcPr>
            <w:tcW w:w="851" w:type="dxa"/>
            <w:tcBorders>
              <w:top w:val="double" w:color="auto" w:sz="6" w:space="0"/>
              <w:bottom w:val="single" w:color="auto" w:sz="6" w:space="0"/>
            </w:tcBorders>
          </w:tcPr>
          <w:p>
            <w:pPr>
              <w:pStyle w:val="19"/>
            </w:pPr>
            <w:r>
              <w:rPr>
                <w:rFonts w:hint="eastAsia"/>
              </w:rPr>
              <w:t>/</w:t>
            </w:r>
          </w:p>
        </w:tc>
        <w:tc>
          <w:tcPr>
            <w:tcW w:w="774" w:type="dxa"/>
            <w:tcBorders>
              <w:top w:val="double" w:color="auto" w:sz="6" w:space="0"/>
              <w:bottom w:val="single" w:color="auto" w:sz="6" w:space="0"/>
            </w:tcBorders>
          </w:tcPr>
          <w:p>
            <w:pPr>
              <w:pStyle w:val="19"/>
            </w:pPr>
            <w:r>
              <w:rPr>
                <w:rFonts w:hint="eastAsia"/>
              </w:rPr>
              <w:t>/</w:t>
            </w:r>
          </w:p>
        </w:tc>
        <w:tc>
          <w:tcPr>
            <w:tcW w:w="1352" w:type="dxa"/>
            <w:tcBorders>
              <w:top w:val="double" w:color="auto" w:sz="6" w:space="0"/>
              <w:bottom w:val="single" w:color="auto" w:sz="6" w:space="0"/>
            </w:tcBorders>
          </w:tcPr>
          <w:p>
            <w:pPr>
              <w:pStyle w:val="19"/>
            </w:pPr>
            <w:r>
              <w:rPr>
                <w:rFonts w:hint="eastAsia"/>
              </w:rPr>
              <w:t>/</w:t>
            </w:r>
          </w:p>
        </w:tc>
        <w:tc>
          <w:tcPr>
            <w:tcW w:w="1418" w:type="dxa"/>
            <w:tcBorders>
              <w:top w:val="double" w:color="auto" w:sz="6" w:space="0"/>
              <w:bottom w:val="single" w:color="auto" w:sz="6" w:space="0"/>
            </w:tcBorders>
          </w:tcPr>
          <w:p>
            <w:pPr>
              <w:pStyle w:val="19"/>
            </w:pPr>
            <w:r>
              <w:rPr>
                <w:rFonts w:hint="eastAsia"/>
              </w:rPr>
              <w:t>/</w:t>
            </w:r>
          </w:p>
        </w:tc>
        <w:tc>
          <w:tcPr>
            <w:tcW w:w="2412" w:type="dxa"/>
            <w:tcBorders>
              <w:top w:val="double" w:color="auto" w:sz="6" w:space="0"/>
              <w:bottom w:val="single" w:color="auto" w:sz="6" w:space="0"/>
            </w:tcBorders>
          </w:tcPr>
          <w:p>
            <w:pPr>
              <w:pStyle w:val="19"/>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93" w:type="dxa"/>
          </w:tcPr>
          <w:p>
            <w:pPr>
              <w:pStyle w:val="19"/>
            </w:pPr>
            <w:r>
              <w:rPr>
                <w:rFonts w:hint="eastAsia"/>
              </w:rPr>
              <w:t>/</w:t>
            </w:r>
          </w:p>
        </w:tc>
        <w:tc>
          <w:tcPr>
            <w:tcW w:w="1984" w:type="dxa"/>
          </w:tcPr>
          <w:p>
            <w:pPr>
              <w:pStyle w:val="19"/>
            </w:pPr>
            <w:r>
              <w:rPr>
                <w:rFonts w:hint="eastAsia"/>
              </w:rPr>
              <w:t>/</w:t>
            </w:r>
          </w:p>
        </w:tc>
        <w:tc>
          <w:tcPr>
            <w:tcW w:w="851" w:type="dxa"/>
          </w:tcPr>
          <w:p>
            <w:pPr>
              <w:pStyle w:val="19"/>
            </w:pPr>
            <w:r>
              <w:rPr>
                <w:rFonts w:hint="eastAsia"/>
              </w:rPr>
              <w:t>/</w:t>
            </w:r>
          </w:p>
        </w:tc>
        <w:tc>
          <w:tcPr>
            <w:tcW w:w="774" w:type="dxa"/>
          </w:tcPr>
          <w:p>
            <w:pPr>
              <w:pStyle w:val="19"/>
            </w:pPr>
            <w:r>
              <w:rPr>
                <w:rFonts w:hint="eastAsia"/>
              </w:rPr>
              <w:t>/</w:t>
            </w:r>
          </w:p>
        </w:tc>
        <w:tc>
          <w:tcPr>
            <w:tcW w:w="1352" w:type="dxa"/>
          </w:tcPr>
          <w:p>
            <w:pPr>
              <w:pStyle w:val="19"/>
            </w:pPr>
            <w:r>
              <w:rPr>
                <w:rFonts w:hint="eastAsia"/>
              </w:rPr>
              <w:t>/</w:t>
            </w:r>
          </w:p>
        </w:tc>
        <w:tc>
          <w:tcPr>
            <w:tcW w:w="1418" w:type="dxa"/>
          </w:tcPr>
          <w:p>
            <w:pPr>
              <w:pStyle w:val="19"/>
            </w:pPr>
            <w:r>
              <w:rPr>
                <w:rFonts w:hint="eastAsia"/>
              </w:rPr>
              <w:t>/</w:t>
            </w:r>
          </w:p>
        </w:tc>
        <w:tc>
          <w:tcPr>
            <w:tcW w:w="2412" w:type="dxa"/>
          </w:tcPr>
          <w:p>
            <w:pPr>
              <w:pStyle w:val="19"/>
            </w:pPr>
            <w:r>
              <w:rPr>
                <w:rFonts w:hint="eastAsia"/>
              </w:rPr>
              <w:t>/</w:t>
            </w:r>
          </w:p>
        </w:tc>
      </w:tr>
    </w:tbl>
    <w:p>
      <w:pPr>
        <w:spacing w:before="156" w:beforeLines="50" w:after="156" w:afterLines="50" w:line="440" w:lineRule="exact"/>
        <w:jc w:val="center"/>
        <w:rPr>
          <w:rFonts w:eastAsia="黑体"/>
          <w:color w:val="000000" w:themeColor="text1"/>
          <w:sz w:val="30"/>
          <w:szCs w:val="30"/>
          <w14:textFill>
            <w14:solidFill>
              <w14:schemeClr w14:val="tx1"/>
            </w14:solidFill>
          </w14:textFill>
        </w:rPr>
      </w:pPr>
      <w:r>
        <w:rPr>
          <w:rFonts w:eastAsia="黑体"/>
          <w:color w:val="000000" w:themeColor="text1"/>
          <w:sz w:val="30"/>
          <w:szCs w:val="30"/>
          <w14:textFill>
            <w14:solidFill>
              <w14:schemeClr w14:val="tx1"/>
            </w14:solidFill>
          </w14:textFill>
        </w:rPr>
        <w:t>9-3</w:t>
      </w:r>
      <w:r>
        <w:rPr>
          <w:rFonts w:hint="eastAsia" w:eastAsia="黑体"/>
          <w:color w:val="000000" w:themeColor="text1"/>
          <w:sz w:val="30"/>
          <w:szCs w:val="30"/>
          <w14:textFill>
            <w14:solidFill>
              <w14:schemeClr w14:val="tx1"/>
            </w14:solidFill>
          </w14:textFill>
        </w:rPr>
        <w:t>：专业工程暂估价表</w:t>
      </w:r>
    </w:p>
    <w:tbl>
      <w:tblPr>
        <w:tblStyle w:val="37"/>
        <w:tblW w:w="9655" w:type="dxa"/>
        <w:tblInd w:w="0" w:type="dxa"/>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Layout w:type="fixed"/>
        <w:tblCellMar>
          <w:top w:w="0" w:type="dxa"/>
          <w:left w:w="28" w:type="dxa"/>
          <w:bottom w:w="0" w:type="dxa"/>
          <w:right w:w="28" w:type="dxa"/>
        </w:tblCellMar>
      </w:tblPr>
      <w:tblGrid>
        <w:gridCol w:w="879"/>
        <w:gridCol w:w="1984"/>
        <w:gridCol w:w="4678"/>
        <w:gridCol w:w="2114"/>
      </w:tblGrid>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single" w:color="auto" w:sz="12" w:space="0"/>
              <w:bottom w:val="double" w:color="auto" w:sz="6" w:space="0"/>
            </w:tcBorders>
          </w:tcPr>
          <w:p>
            <w:pPr>
              <w:pStyle w:val="19"/>
            </w:pPr>
            <w:r>
              <w:rPr>
                <w:rFonts w:hint="eastAsia"/>
              </w:rPr>
              <w:t>序号</w:t>
            </w:r>
          </w:p>
        </w:tc>
        <w:tc>
          <w:tcPr>
            <w:tcW w:w="1984" w:type="dxa"/>
            <w:tcBorders>
              <w:top w:val="single" w:color="auto" w:sz="12" w:space="0"/>
              <w:bottom w:val="double" w:color="auto" w:sz="6" w:space="0"/>
            </w:tcBorders>
          </w:tcPr>
          <w:p>
            <w:pPr>
              <w:pStyle w:val="19"/>
            </w:pPr>
            <w:r>
              <w:rPr>
                <w:rFonts w:hint="eastAsia"/>
              </w:rPr>
              <w:t>专业工程名称</w:t>
            </w:r>
          </w:p>
        </w:tc>
        <w:tc>
          <w:tcPr>
            <w:tcW w:w="4678" w:type="dxa"/>
            <w:tcBorders>
              <w:top w:val="single" w:color="auto" w:sz="12" w:space="0"/>
              <w:bottom w:val="double" w:color="auto" w:sz="6" w:space="0"/>
            </w:tcBorders>
          </w:tcPr>
          <w:p>
            <w:pPr>
              <w:pStyle w:val="19"/>
            </w:pPr>
            <w:r>
              <w:rPr>
                <w:rFonts w:hint="eastAsia"/>
              </w:rPr>
              <w:t>工程内容</w:t>
            </w:r>
          </w:p>
        </w:tc>
        <w:tc>
          <w:tcPr>
            <w:tcW w:w="2114" w:type="dxa"/>
            <w:tcBorders>
              <w:top w:val="single" w:color="auto" w:sz="12" w:space="0"/>
              <w:bottom w:val="double" w:color="auto" w:sz="6" w:space="0"/>
            </w:tcBorders>
          </w:tcPr>
          <w:p>
            <w:pPr>
              <w:pStyle w:val="19"/>
            </w:pPr>
            <w:r>
              <w:rPr>
                <w:rFonts w:hint="eastAsia"/>
              </w:rPr>
              <w:t>金额</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double" w:color="auto" w:sz="6" w:space="0"/>
              <w:bottom w:val="single" w:color="auto" w:sz="6" w:space="0"/>
            </w:tcBorders>
          </w:tcPr>
          <w:p>
            <w:pPr>
              <w:pStyle w:val="19"/>
            </w:pPr>
            <w:r>
              <w:rPr>
                <w:rFonts w:hint="eastAsia"/>
              </w:rPr>
              <w:t>/</w:t>
            </w:r>
          </w:p>
        </w:tc>
        <w:tc>
          <w:tcPr>
            <w:tcW w:w="1984" w:type="dxa"/>
            <w:tcBorders>
              <w:top w:val="double" w:color="auto" w:sz="6" w:space="0"/>
              <w:bottom w:val="single" w:color="auto" w:sz="6" w:space="0"/>
            </w:tcBorders>
          </w:tcPr>
          <w:p>
            <w:pPr>
              <w:pStyle w:val="19"/>
            </w:pPr>
            <w:r>
              <w:rPr>
                <w:rFonts w:hint="eastAsia"/>
              </w:rPr>
              <w:t>/</w:t>
            </w:r>
          </w:p>
        </w:tc>
        <w:tc>
          <w:tcPr>
            <w:tcW w:w="4678" w:type="dxa"/>
            <w:tcBorders>
              <w:top w:val="double" w:color="auto" w:sz="6" w:space="0"/>
              <w:bottom w:val="single" w:color="auto" w:sz="6" w:space="0"/>
            </w:tcBorders>
          </w:tcPr>
          <w:p>
            <w:pPr>
              <w:pStyle w:val="19"/>
            </w:pPr>
            <w:r>
              <w:rPr>
                <w:rFonts w:hint="eastAsia"/>
              </w:rPr>
              <w:t>/</w:t>
            </w:r>
          </w:p>
        </w:tc>
        <w:tc>
          <w:tcPr>
            <w:tcW w:w="2114" w:type="dxa"/>
            <w:tcBorders>
              <w:top w:val="double" w:color="auto" w:sz="6" w:space="0"/>
              <w:bottom w:val="single" w:color="auto" w:sz="6" w:space="0"/>
            </w:tcBorders>
          </w:tcPr>
          <w:p>
            <w:pPr>
              <w:pStyle w:val="19"/>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nil"/>
            </w:tcBorders>
          </w:tcPr>
          <w:p>
            <w:pPr>
              <w:pStyle w:val="19"/>
            </w:pPr>
            <w:r>
              <w:rPr>
                <w:rFonts w:hint="eastAsia"/>
              </w:rPr>
              <w:t>/</w:t>
            </w:r>
          </w:p>
        </w:tc>
        <w:tc>
          <w:tcPr>
            <w:tcW w:w="1984" w:type="dxa"/>
            <w:tcBorders>
              <w:top w:val="nil"/>
            </w:tcBorders>
          </w:tcPr>
          <w:p>
            <w:pPr>
              <w:pStyle w:val="19"/>
            </w:pPr>
            <w:r>
              <w:rPr>
                <w:rFonts w:hint="eastAsia"/>
              </w:rPr>
              <w:t>/</w:t>
            </w:r>
          </w:p>
        </w:tc>
        <w:tc>
          <w:tcPr>
            <w:tcW w:w="4678" w:type="dxa"/>
            <w:tcBorders>
              <w:top w:val="nil"/>
            </w:tcBorders>
          </w:tcPr>
          <w:p>
            <w:pPr>
              <w:pStyle w:val="19"/>
            </w:pPr>
            <w:r>
              <w:rPr>
                <w:rFonts w:hint="eastAsia"/>
              </w:rPr>
              <w:t>/</w:t>
            </w:r>
          </w:p>
        </w:tc>
        <w:tc>
          <w:tcPr>
            <w:tcW w:w="2114" w:type="dxa"/>
            <w:tcBorders>
              <w:top w:val="nil"/>
            </w:tcBorders>
          </w:tcPr>
          <w:p>
            <w:pPr>
              <w:pStyle w:val="19"/>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879" w:type="dxa"/>
            <w:tcBorders>
              <w:top w:val="nil"/>
            </w:tcBorders>
          </w:tcPr>
          <w:p>
            <w:pPr>
              <w:pStyle w:val="19"/>
            </w:pPr>
            <w:r>
              <w:rPr>
                <w:rFonts w:hint="eastAsia"/>
              </w:rPr>
              <w:t>/</w:t>
            </w:r>
          </w:p>
        </w:tc>
        <w:tc>
          <w:tcPr>
            <w:tcW w:w="1984" w:type="dxa"/>
            <w:tcBorders>
              <w:top w:val="nil"/>
            </w:tcBorders>
          </w:tcPr>
          <w:p>
            <w:pPr>
              <w:pStyle w:val="19"/>
            </w:pPr>
            <w:r>
              <w:rPr>
                <w:rFonts w:hint="eastAsia"/>
              </w:rPr>
              <w:t>/</w:t>
            </w:r>
          </w:p>
        </w:tc>
        <w:tc>
          <w:tcPr>
            <w:tcW w:w="4678" w:type="dxa"/>
            <w:tcBorders>
              <w:top w:val="nil"/>
            </w:tcBorders>
          </w:tcPr>
          <w:p>
            <w:pPr>
              <w:pStyle w:val="19"/>
            </w:pPr>
            <w:r>
              <w:rPr>
                <w:rFonts w:hint="eastAsia"/>
              </w:rPr>
              <w:t>/</w:t>
            </w:r>
          </w:p>
        </w:tc>
        <w:tc>
          <w:tcPr>
            <w:tcW w:w="2114" w:type="dxa"/>
            <w:tcBorders>
              <w:top w:val="nil"/>
            </w:tcBorders>
          </w:tcPr>
          <w:p>
            <w:pPr>
              <w:pStyle w:val="19"/>
            </w:pPr>
            <w:r>
              <w:rPr>
                <w:rFonts w:hint="eastAsia"/>
              </w:rPr>
              <w:t>/</w:t>
            </w:r>
          </w:p>
        </w:tc>
      </w:tr>
      <w:tr>
        <w:tblPrEx>
          <w:tblBorders>
            <w:top w:val="single" w:color="auto" w:sz="12" w:space="0"/>
            <w:left w:val="single" w:color="auto" w:sz="12" w:space="0"/>
            <w:bottom w:val="single" w:color="auto" w:sz="12" w:space="0"/>
            <w:right w:val="single" w:color="auto" w:sz="12" w:space="0"/>
            <w:insideH w:val="single" w:color="auto" w:sz="6" w:space="0"/>
            <w:insideV w:val="single" w:color="auto" w:sz="6" w:space="0"/>
          </w:tblBorders>
          <w:tblCellMar>
            <w:top w:w="0" w:type="dxa"/>
            <w:left w:w="28" w:type="dxa"/>
            <w:bottom w:w="0" w:type="dxa"/>
            <w:right w:w="28" w:type="dxa"/>
          </w:tblCellMar>
        </w:tblPrEx>
        <w:tc>
          <w:tcPr>
            <w:tcW w:w="9655" w:type="dxa"/>
            <w:gridSpan w:val="4"/>
          </w:tcPr>
          <w:p>
            <w:pPr>
              <w:pStyle w:val="19"/>
              <w:rPr>
                <w:sz w:val="21"/>
              </w:rPr>
            </w:pPr>
            <w:r>
              <w:rPr>
                <w:rFonts w:hint="eastAsia"/>
              </w:rPr>
              <w:t>小计：</w:t>
            </w:r>
          </w:p>
        </w:tc>
      </w:tr>
    </w:tbl>
    <w:p>
      <w:pPr>
        <w:rPr>
          <w:color w:val="000000" w:themeColor="text1"/>
          <w14:textFill>
            <w14:solidFill>
              <w14:schemeClr w14:val="tx1"/>
            </w14:solidFill>
          </w14:textFill>
        </w:rPr>
      </w:pPr>
    </w:p>
    <w:p>
      <w:pPr>
        <w:spacing w:before="156" w:beforeLines="50" w:after="156" w:afterLines="50" w:line="440" w:lineRule="exact"/>
        <w:jc w:val="left"/>
        <w:outlineLvl w:val="3"/>
        <w:rPr>
          <w:rFonts w:ascii="仿宋_GB2312" w:eastAsia="仿宋_GB2312"/>
          <w:color w:val="000000" w:themeColor="text1"/>
          <w:sz w:val="30"/>
          <w:szCs w:val="30"/>
          <w14:textFill>
            <w14:solidFill>
              <w14:schemeClr w14:val="tx1"/>
            </w14:solidFill>
          </w14:textFill>
        </w:rPr>
      </w:pPr>
      <w:r>
        <w:rPr>
          <w:rFonts w:ascii="仿宋_GB2312" w:eastAsia="仿宋_GB2312"/>
          <w:color w:val="000000" w:themeColor="text1"/>
          <w:sz w:val="30"/>
          <w:szCs w:val="30"/>
          <w14:textFill>
            <w14:solidFill>
              <w14:schemeClr w14:val="tx1"/>
            </w14:solidFill>
          </w14:textFill>
        </w:rPr>
        <w:br w:type="page"/>
      </w:r>
    </w:p>
    <w:p>
      <w:pPr>
        <w:spacing w:before="156" w:beforeLines="50" w:after="156" w:afterLines="50" w:line="440" w:lineRule="exact"/>
        <w:jc w:val="left"/>
        <w:outlineLvl w:val="3"/>
        <w:rPr>
          <w:rFonts w:ascii="仿宋_GB2312" w:hAnsi="方正小标宋简体"/>
          <w:color w:val="000000" w:themeColor="text1"/>
          <w:sz w:val="30"/>
          <w14:textFill>
            <w14:solidFill>
              <w14:schemeClr w14:val="tx1"/>
            </w14:solidFill>
          </w14:textFill>
        </w:rPr>
      </w:pPr>
      <w:r>
        <w:rPr>
          <w:rFonts w:hint="eastAsia" w:ascii="仿宋_GB2312" w:hAnsi="仿宋_GB2312"/>
          <w:color w:val="000000" w:themeColor="text1"/>
          <w:kern w:val="0"/>
          <w:sz w:val="30"/>
          <w14:textFill>
            <w14:solidFill>
              <w14:schemeClr w14:val="tx1"/>
            </w14:solidFill>
          </w14:textFill>
        </w:rPr>
        <w:t>附件</w:t>
      </w:r>
      <w:r>
        <w:rPr>
          <w:rFonts w:ascii="仿宋_GB2312" w:hAnsi="仿宋_GB2312"/>
          <w:color w:val="000000" w:themeColor="text1"/>
          <w:kern w:val="0"/>
          <w:sz w:val="30"/>
          <w14:textFill>
            <w14:solidFill>
              <w14:schemeClr w14:val="tx1"/>
            </w14:solidFill>
          </w14:textFill>
        </w:rPr>
        <w:t>10</w:t>
      </w:r>
      <w:r>
        <w:rPr>
          <w:rFonts w:hint="eastAsia" w:ascii="仿宋_GB2312" w:eastAsia="仿宋_GB2312"/>
          <w:color w:val="000000" w:themeColor="text1"/>
          <w:sz w:val="30"/>
          <w:szCs w:val="30"/>
          <w14:textFill>
            <w14:solidFill>
              <w14:schemeClr w14:val="tx1"/>
            </w14:solidFill>
          </w14:textFill>
        </w:rPr>
        <w:t>：</w:t>
      </w:r>
      <w:r>
        <w:rPr>
          <w:rFonts w:ascii="仿宋_GB2312" w:eastAsia="仿宋_GB2312"/>
          <w:color w:val="000000" w:themeColor="text1"/>
          <w:sz w:val="30"/>
          <w:szCs w:val="30"/>
          <w14:textFill>
            <w14:solidFill>
              <w14:schemeClr w14:val="tx1"/>
            </w14:solidFill>
          </w14:textFill>
        </w:rPr>
        <w:t xml:space="preserve"> </w:t>
      </w:r>
    </w:p>
    <w:p>
      <w:pPr>
        <w:spacing w:before="156" w:beforeLines="50" w:after="156" w:afterLines="50" w:line="440" w:lineRule="exact"/>
        <w:jc w:val="center"/>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相关方安全协议</w:t>
      </w:r>
    </w:p>
    <w:p>
      <w:pPr>
        <w:pStyle w:val="67"/>
        <w:spacing w:line="300" w:lineRule="auto"/>
        <w:ind w:firstLine="600"/>
        <w:rPr>
          <w:rFonts w:ascii="仿宋_GB2312" w:hAnsi="仿宋_GB2312" w:eastAsia="仿宋_GB2312" w:cs="仿宋_GB2312"/>
          <w:sz w:val="30"/>
          <w:szCs w:val="30"/>
        </w:rPr>
      </w:pPr>
      <w:r>
        <w:rPr>
          <w:rFonts w:ascii="仿宋_GB2312" w:hAnsi="仿宋_GB2312" w:eastAsia="仿宋_GB2312" w:cs="仿宋_GB2312"/>
          <w:sz w:val="30"/>
          <w:szCs w:val="30"/>
        </w:rPr>
        <w:t>甲方：</w:t>
      </w:r>
      <w:r>
        <w:rPr>
          <w:rFonts w:hint="eastAsia" w:ascii="仿宋_GB2312" w:hAnsi="仿宋_GB2312" w:eastAsia="仿宋_GB2312" w:cs="仿宋_GB2312"/>
          <w:sz w:val="30"/>
          <w:szCs w:val="30"/>
        </w:rPr>
        <w:t>重汽（济南）车桥有限公司</w:t>
      </w:r>
    </w:p>
    <w:p>
      <w:pPr>
        <w:pStyle w:val="67"/>
        <w:spacing w:line="300" w:lineRule="auto"/>
        <w:ind w:firstLine="600"/>
        <w:rPr>
          <w:rFonts w:ascii="仿宋_GB2312" w:hAnsi="仿宋_GB2312" w:eastAsia="仿宋_GB2312" w:cs="仿宋_GB2312"/>
          <w:sz w:val="30"/>
          <w:szCs w:val="30"/>
        </w:rPr>
      </w:pPr>
      <w:r>
        <w:rPr>
          <w:rFonts w:ascii="仿宋_GB2312" w:hAnsi="仿宋_GB2312" w:eastAsia="仿宋_GB2312" w:cs="仿宋_GB2312"/>
          <w:sz w:val="30"/>
          <w:szCs w:val="30"/>
        </w:rPr>
        <w:t>乙方：</w:t>
      </w:r>
      <w:r>
        <w:rPr>
          <w:rFonts w:hint="eastAsia" w:ascii="仿宋_GB2312" w:hAnsi="仿宋_GB2312" w:eastAsia="仿宋_GB2312" w:cs="仿宋_GB2312"/>
          <w:sz w:val="30"/>
          <w:szCs w:val="30"/>
        </w:rPr>
        <w:t xml:space="preserve"> </w:t>
      </w:r>
      <w:r>
        <w:rPr>
          <w:rFonts w:ascii="仿宋_GB2312" w:hAnsi="仿宋_GB2312" w:eastAsia="仿宋_GB2312" w:cs="仿宋_GB2312"/>
          <w:sz w:val="30"/>
          <w:szCs w:val="30"/>
        </w:rPr>
        <w:t xml:space="preserve">              </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乙方在甲方厂区（含园区）开展</w:t>
      </w:r>
      <w:r>
        <w:rPr>
          <w:rFonts w:hint="eastAsia" w:ascii="仿宋_GB2312" w:hAnsi="仿宋_GB2312" w:eastAsia="仿宋_GB2312" w:cs="仿宋_GB2312"/>
          <w:sz w:val="30"/>
          <w:szCs w:val="30"/>
          <w:u w:val="single"/>
        </w:rPr>
        <w:t>济南橡塑件公司新能源高压线束车间改造技改项目工程施工</w:t>
      </w:r>
      <w:r>
        <w:rPr>
          <w:rFonts w:ascii="仿宋_GB2312" w:hAnsi="仿宋_GB2312" w:eastAsia="仿宋_GB2312" w:cs="仿宋_GB2312"/>
          <w:sz w:val="30"/>
          <w:szCs w:val="30"/>
        </w:rPr>
        <w:t>项目</w:t>
      </w:r>
      <w:r>
        <w:rPr>
          <w:rFonts w:hint="eastAsia" w:ascii="仿宋_GB2312" w:hAnsi="仿宋_GB2312" w:eastAsia="仿宋_GB2312" w:cs="仿宋_GB2312"/>
          <w:sz w:val="30"/>
          <w:szCs w:val="30"/>
        </w:rPr>
        <w:t>，</w:t>
      </w:r>
      <w:r>
        <w:rPr>
          <w:rFonts w:ascii="仿宋_GB2312" w:hAnsi="仿宋_GB2312" w:eastAsia="仿宋_GB2312" w:cs="仿宋_GB2312"/>
          <w:sz w:val="30"/>
          <w:szCs w:val="30"/>
        </w:rPr>
        <w:t>根据国</w:t>
      </w:r>
      <w:r>
        <w:rPr>
          <w:rFonts w:hint="eastAsia" w:ascii="仿宋_GB2312" w:hAnsi="仿宋_GB2312" w:eastAsia="仿宋_GB2312" w:cs="仿宋_GB2312"/>
          <w:sz w:val="30"/>
          <w:szCs w:val="30"/>
        </w:rPr>
        <w:t>家、地方</w:t>
      </w:r>
      <w:r>
        <w:rPr>
          <w:rFonts w:ascii="仿宋_GB2312" w:hAnsi="仿宋_GB2312" w:eastAsia="仿宋_GB2312" w:cs="仿宋_GB2312"/>
          <w:sz w:val="30"/>
          <w:szCs w:val="30"/>
        </w:rPr>
        <w:t>有关安全生产的法律、法规、条例</w:t>
      </w:r>
      <w:r>
        <w:rPr>
          <w:rFonts w:hint="eastAsia" w:ascii="仿宋_GB2312" w:hAnsi="仿宋_GB2312" w:eastAsia="仿宋_GB2312" w:cs="仿宋_GB2312"/>
          <w:sz w:val="30"/>
          <w:szCs w:val="30"/>
        </w:rPr>
        <w:t>、规章、政策等规范性文件的要求</w:t>
      </w:r>
      <w:r>
        <w:rPr>
          <w:rFonts w:ascii="仿宋_GB2312" w:hAnsi="仿宋_GB2312" w:eastAsia="仿宋_GB2312" w:cs="仿宋_GB2312"/>
          <w:sz w:val="30"/>
          <w:szCs w:val="30"/>
        </w:rPr>
        <w:t>，为明确甲乙双方安全管理职责与权利，预防各类事故的发生，经甲乙双方协商一致，同意签订本协议，并</w:t>
      </w:r>
      <w:r>
        <w:rPr>
          <w:rFonts w:hint="eastAsia" w:ascii="仿宋_GB2312" w:hAnsi="仿宋_GB2312" w:eastAsia="仿宋_GB2312" w:cs="仿宋_GB2312"/>
          <w:sz w:val="30"/>
          <w:szCs w:val="30"/>
        </w:rPr>
        <w:t>共同</w:t>
      </w:r>
      <w:r>
        <w:rPr>
          <w:rFonts w:ascii="仿宋_GB2312" w:hAnsi="仿宋_GB2312" w:eastAsia="仿宋_GB2312" w:cs="仿宋_GB2312"/>
          <w:sz w:val="30"/>
          <w:szCs w:val="30"/>
        </w:rPr>
        <w:t>遵守。</w:t>
      </w:r>
    </w:p>
    <w:p>
      <w:pPr>
        <w:pStyle w:val="67"/>
        <w:spacing w:line="300" w:lineRule="auto"/>
        <w:ind w:firstLine="600"/>
        <w:rPr>
          <w:rFonts w:ascii="黑体" w:hAnsi="黑体" w:eastAsia="黑体" w:cs="黑体"/>
          <w:sz w:val="30"/>
          <w:szCs w:val="30"/>
        </w:rPr>
      </w:pPr>
      <w:r>
        <w:rPr>
          <w:rFonts w:hint="eastAsia" w:ascii="黑体" w:hAnsi="黑体" w:eastAsia="黑体" w:cs="黑体"/>
          <w:sz w:val="30"/>
          <w:szCs w:val="30"/>
        </w:rPr>
        <w:t>一、甲乙双方安全管理职责与权利：</w:t>
      </w:r>
    </w:p>
    <w:p>
      <w:pPr>
        <w:pStyle w:val="67"/>
        <w:numPr>
          <w:ilvl w:val="255"/>
          <w:numId w:val="0"/>
        </w:numPr>
        <w:spacing w:line="300" w:lineRule="auto"/>
        <w:ind w:firstLine="602" w:firstLineChars="200"/>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（一）甲方职责与权利</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1.甲方根据协作需求，负责为乙方提供作业场地及必要的风、水、电、气等能源。</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甲方有权督促乙方遵守国家有关安全的法规、标准和甲方的安全管理规章制度，有权对乙方作业过程中的安全管理工作、安全防范措施的落实进行监督检查，有权向乙方询问有关安全措施的落实情况，调阅有关安全资料，并落实为书面记录。</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甲方有权对乙方作业过程中出现的事故隐患、违章、冒险行为进行制止和纠正，有权要求乙方立即整改和排除风险。乙方出现重大安全隐患不进行整改的或管理混乱不服从甲方监督和协调的情况，甲方有权停止其作业，并给予警告和经济考核，直至终止本合同及具体业务合同。</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4.甲方对乙方不得违章指挥、强令冒险作业，因甲方人员人为原因造成乙方人员发生事故的，由乙方负责处理，甲方予以协助并赔偿乙方的合理损失。</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5.甲方对乙方在甲方发生安全事故时，将尽量协助救护、保护事故现场，并有权开展或参加对事故的调查处理。因乙方原因导致的生产安全事故，由乙方承担相应责任。</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6.当物资供应类的物品中含有危险化学品以及其他对甲方职业安全健康有影响的产品时，甲方有权要求乙方提供相关产品的中文版化学品安全技术说明书、产品标准、使用说明书、化学性能参数表等文件。</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7.对于提供生活物质、食品的乙方，甲方有权要求乙方提供乙方工作人员的健康证明。在甲方服务时，乙方要严格遵守甲方的相关安全管理制度和卫生、健康管理制度。</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8、甲方有权要求乙方提供作业人员的工伤保险及意外保险缴纳证明。</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9、甲方指定专人（</w:t>
      </w:r>
      <w:r>
        <w:rPr>
          <w:rFonts w:hint="eastAsia" w:ascii="仿宋_GB2312" w:hAnsi="仿宋_GB2312" w:eastAsia="仿宋_GB2312" w:cs="仿宋_GB2312"/>
          <w:i/>
          <w:iCs/>
          <w:color w:val="FF0000"/>
          <w:sz w:val="30"/>
          <w:szCs w:val="30"/>
        </w:rPr>
        <w:t xml:space="preserve">联系人、安全员： </w:t>
      </w:r>
      <w:r>
        <w:rPr>
          <w:rFonts w:ascii="仿宋_GB2312" w:hAnsi="仿宋_GB2312" w:eastAsia="仿宋_GB2312" w:cs="仿宋_GB2312"/>
          <w:i/>
          <w:iCs/>
          <w:color w:val="FF0000"/>
          <w:sz w:val="30"/>
          <w:szCs w:val="30"/>
        </w:rPr>
        <w:t xml:space="preserve">  </w:t>
      </w:r>
      <w:r>
        <w:rPr>
          <w:rFonts w:hint="eastAsia" w:ascii="仿宋_GB2312" w:hAnsi="仿宋_GB2312" w:eastAsia="仿宋_GB2312" w:cs="仿宋_GB2312"/>
          <w:i/>
          <w:iCs/>
          <w:color w:val="FF0000"/>
          <w:sz w:val="30"/>
          <w:szCs w:val="30"/>
        </w:rPr>
        <w:t xml:space="preserve"> ；联系方式：</w:t>
      </w:r>
      <w:r>
        <w:rPr>
          <w:rFonts w:ascii="仿宋_GB2312" w:hAnsi="仿宋_GB2312" w:eastAsia="仿宋_GB2312" w:cs="仿宋_GB2312"/>
          <w:i/>
          <w:iCs/>
          <w:color w:val="FF0000"/>
          <w:sz w:val="30"/>
          <w:szCs w:val="30"/>
        </w:rPr>
        <w:t xml:space="preserve">      </w:t>
      </w:r>
      <w:r>
        <w:rPr>
          <w:rFonts w:hint="eastAsia" w:ascii="仿宋_GB2312" w:hAnsi="仿宋_GB2312" w:eastAsia="仿宋_GB2312" w:cs="仿宋_GB2312"/>
          <w:sz w:val="30"/>
          <w:szCs w:val="30"/>
        </w:rPr>
        <w:t>）负责乙方业务和安全管理，乙方出现各类问题都应及时与甲方联系人、安全员联系。</w:t>
      </w:r>
    </w:p>
    <w:p>
      <w:pPr>
        <w:pStyle w:val="67"/>
        <w:numPr>
          <w:ilvl w:val="255"/>
          <w:numId w:val="0"/>
        </w:numPr>
        <w:spacing w:line="300" w:lineRule="auto"/>
        <w:ind w:firstLine="602" w:firstLineChars="200"/>
        <w:rPr>
          <w:rFonts w:ascii="楷体_GB2312" w:hAnsi="楷体_GB2312" w:eastAsia="楷体_GB2312" w:cs="楷体_GB2312"/>
          <w:b/>
          <w:bCs/>
          <w:sz w:val="30"/>
          <w:szCs w:val="30"/>
        </w:rPr>
      </w:pPr>
      <w:r>
        <w:rPr>
          <w:rFonts w:hint="eastAsia" w:ascii="楷体_GB2312" w:hAnsi="楷体_GB2312" w:eastAsia="楷体_GB2312" w:cs="楷体_GB2312"/>
          <w:b/>
          <w:bCs/>
          <w:sz w:val="30"/>
          <w:szCs w:val="30"/>
        </w:rPr>
        <w:t>（二）乙方职责与权利</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1.乙方进入甲方生产现场的车辆、人员必须执行甲方的各项安全管理规定，接受甲方安全管理人员的监督和管理。乙方应在进入现场前充分了解并知悉甲方的各项安全管理规定。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乙方在甲方现场作业应指定安全负责人，佩戴安全管理标识负责本方的安全管理工作，乙方安全管理人员要定期开展隐患排查，并将检查及处理情况如实记录存档。乙方应于本协议签订前，将该负责人姓名及其相关资料送至甲方审核、备案，当负责人发生变动时，乙方应在变动后5个工作日内书面通知甲方并将变动后的人员姓名及相关资料送至甲方备案。</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在甲方厂区内行驶的各类机动车辆，必须保证车辆的安全性能良好，并挂有公安部门或国家相关管理部门办理的有效牌照并按时审验，特种车辆设有环保码。牌照须按规定位置安装，并保持牢固、清晰、不得损坏，货物必须按规定装载和捆绑固定牢固，严禁超载、超速行驶。</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乙方应当保证在其派往甲方厂区的人员进入生产区域作业前，将甲方各项安全管理规章制度告知作业人员，熟知相关安全制度、作业过程存在的风险及预防控制措施并对其进行安全培训及保存相关记录备查。乙方进入甲方现场从事特种作业的工作人员，必须持有国家相关部门颁发的特种作业操作证，熟知相关安全制度、作业过程存在的风险及预防控制措施严禁无证作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乙方进入甲方厂区行驶的各类机动车辆，必须遵守靠右行驶的原则，并遵守相关禁行规定，禁止逆向行驶，禁止行车过程中使用手机。车辆停放时驾驶员不得长时间离开车辆，确需离开应将车辆熄火拉紧手制动器并在停车线内停放，启动钥匙随身携带。</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各类机动车辆在甲方厂区主干道行驶速度不超过30公里/小时，其他道路不得超过20公里/小时；结冰、积雪、积水的道路和恶劣天气能见度在30m以内时不超过10公里/小时，恶劣天气能见度在5m以内或能见度在10m以内、道路最大纵坡在6%以上时,应停止行驶；车间内行驶速度不超过5公里/小时；进出车间大门行驶速度不超过3公里/小时。</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7.除叉车、装载机、厂内物流农用车、托头、电瓶板车等生产现场所需车辆，其余各类车辆原则上禁止进入厂房内部；确因生产需要车辆进入生产车间现场的，需报甲方需进入加工部的安全管理人员批准，并指定专人指挥、负责车辆的安全。</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8.乙方项目中涉及有限空间的作业，乙方应按照《工贸企业有限空间作业安全规定》及甲方安全规章制度要求，严格按照监测、作业、审批及应急管理要求执行，安排经专项培训的作业人员、监护人员等进行作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9.因乙方人员不遵守相关安全法律法规及甲方的规章制度造成安全生产事故的，乙方应负责处理相关事宜，并承担相应责任和损失，甲方予以协助。</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10.乙方负责处理其工作人员在甲方现场工作期间发生的工伤事故，并承担相应费用及责任，甲方予以积极配合。</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11.乙方人员在甲方现场造成甲方工作人员或第三方人员人身伤害、财产损失或甲方产品、设备等财产损失的，由乙方承担相应费用及责任。</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12.乙方人员及车辆在甲方厂区范围内发生安全生产、交通等事故的，在安监部门、公安、司法机关未结案时，所有费用均由乙方先行全额垫付。待安监部门、公安、司法机关处理完毕后，由国家机关认定的责任人承担相关责任。相关责任人赔偿前，由乙方负责先行全额垫付。</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13.乙方应当根据《中华人民共和国职业病防治法》的要求，对其所属员工组织进行岗前、岗中、离岗职业健康查体，妥善保存查体报告，杜绝职业禁忌证、职业病人员进入甲方厂区从事相关工作，对进入甲方厂区工作的人员，按照接害因素配备相应的符合国家规范要求的劳动防护用品。乙方出现的职业病、禁忌证人员，由乙方全权负责。</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14.乙方所使用的机械设施、各类机器等设备，必须是经过检测且合格可靠的，各类设备设施的合格证、检测证和安全防护装置等必须齐全、完好。严禁使用不安全的设备设施进行作业。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15.乙方负责按照相关要求为作业现场配备所需的安全防护设施、消防设施，负责为乙方作业人员配备合格、可靠的安全防护用品（特殊劳动防护用品需提供采购单位相应资质）。</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16.乙方作业完成后，负责清理现场并恢复作业前的正常环境。对于作业过程中产生的废水、废料、废渣、建筑垃圾等（不包含危险废物），由乙方负责按照环保法律法规要求合法处理，因乙方违规处置产生的后果由乙方承担。</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17.乙方承诺，不将承租的项目部分或全部转包给其他单位，因违规转包而导致的一切后果由乙方自行承担。</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18.积极支持配合和参加甲方组织的消防安全防范活动，自觉培养消防意识宣传消防重要性。进行经常性的防火安全检查，对发现的火险隐患必须采取应急措施。</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19.乙方不违规使用电器、不超容量用电和不违规使用液化气、管道煤气等燃气具；禁止私接电源插座，乱拉临时电线，私自拆修开关和更换灯管，灯泡，保险丝等。不在所属住宅房屋、厂房、仓库或车辆内违规贮藏保存易燃易爆危险物品。</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20.乙方应遵守装修工程消防安全管理规定和工程施工安全技术规范，在作业范围内消防灭火器材的配备及日常的维护由乙方负责，应确保消防器材及设施完好有效。</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21.乙方作业区域发生火灾事故时能冷静准确向119报警，并能灭火、指引和协助他人逃生。必须立即采取有效措施防止事故扩大，组织人员抢救并保护现场，并立即向甲方报告。</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22.乙方在作业过程中发生安全生产事故，事故现场有关人员应当立即向乙方单位及项目负责人报告。乙方单位及项目负责人接到事故报告后，应当立即如实地向甲方单位报告，并启动相应的应急预案，采取有效措施，组织抢救，防止事故扩大。</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23.乙方承诺指定专人（</w:t>
      </w:r>
      <w:r>
        <w:rPr>
          <w:rFonts w:hint="eastAsia" w:ascii="仿宋_GB2312" w:hAnsi="仿宋_GB2312" w:eastAsia="仿宋_GB2312" w:cs="仿宋_GB2312"/>
          <w:i/>
          <w:iCs/>
          <w:color w:val="FF0000"/>
          <w:sz w:val="30"/>
          <w:szCs w:val="30"/>
        </w:rPr>
        <w:t xml:space="preserve">联系人、安全员： </w:t>
      </w:r>
      <w:r>
        <w:rPr>
          <w:rFonts w:ascii="仿宋_GB2312" w:hAnsi="仿宋_GB2312" w:eastAsia="仿宋_GB2312" w:cs="仿宋_GB2312"/>
          <w:i/>
          <w:iCs/>
          <w:color w:val="FF0000"/>
          <w:sz w:val="30"/>
          <w:szCs w:val="30"/>
        </w:rPr>
        <w:t xml:space="preserve">   </w:t>
      </w:r>
      <w:r>
        <w:rPr>
          <w:rFonts w:hint="eastAsia" w:ascii="仿宋_GB2312" w:hAnsi="仿宋_GB2312" w:eastAsia="仿宋_GB2312" w:cs="仿宋_GB2312"/>
          <w:i/>
          <w:iCs/>
          <w:color w:val="FF0000"/>
          <w:sz w:val="30"/>
          <w:szCs w:val="30"/>
        </w:rPr>
        <w:t xml:space="preserve">；联系方式： </w:t>
      </w:r>
      <w:r>
        <w:rPr>
          <w:rFonts w:ascii="仿宋_GB2312" w:hAnsi="仿宋_GB2312" w:eastAsia="仿宋_GB2312" w:cs="仿宋_GB2312"/>
          <w:i/>
          <w:iCs/>
          <w:color w:val="FF0000"/>
          <w:sz w:val="30"/>
          <w:szCs w:val="30"/>
        </w:rPr>
        <w:t xml:space="preserve">    </w:t>
      </w:r>
      <w:r>
        <w:rPr>
          <w:rFonts w:hint="eastAsia" w:ascii="仿宋_GB2312" w:hAnsi="仿宋_GB2312" w:eastAsia="仿宋_GB2312" w:cs="仿宋_GB2312"/>
          <w:sz w:val="30"/>
          <w:szCs w:val="30"/>
        </w:rPr>
        <w:t>）负责作业过程中的安全管理，负责与甲方进行安全管理工作的对接，配合甲方统一协调管理。</w:t>
      </w:r>
    </w:p>
    <w:p>
      <w:pPr>
        <w:pStyle w:val="67"/>
        <w:spacing w:line="300" w:lineRule="auto"/>
        <w:ind w:firstLine="600"/>
        <w:rPr>
          <w:rFonts w:ascii="黑体" w:hAnsi="黑体" w:eastAsia="黑体" w:cs="黑体"/>
          <w:sz w:val="30"/>
          <w:szCs w:val="30"/>
        </w:rPr>
      </w:pPr>
      <w:r>
        <w:rPr>
          <w:rFonts w:hint="eastAsia" w:ascii="黑体" w:hAnsi="黑体" w:eastAsia="黑体" w:cs="黑体"/>
          <w:sz w:val="30"/>
          <w:szCs w:val="30"/>
        </w:rPr>
        <w:t>二、其他相关手续办理</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乙方进入甲方厂区进行施工，办理其他相关手续，应遵守以下约定：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1.进厂手续：甲方与乙方的施工合同签订后，乙方单位持相关的资质材料，按照甲方管理制度办理施工手续后 ,方可进行作业。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施工需进行临时用电、动火作业、高处作业、进入受限空间时，作业方案经甲方审核同意后，办理完成全部审批手续方能开展作业。作业过程中，应当设置好安全警示，严禁违章指挥、违章作业，严格做好监护和应急救援工作。</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3.入厂安全教育：乙方进入甲方厂区前应对其施工人员进行安全教育并提供教育培训的相关资料，到甲方办理《施工许可证》。</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乙方要保持施工现场的环境卫生，文明施工；当日的废物、边角料当日清除；施工所用的材料、物品应摆放整齐，不得随地乱放；如因工程需要必须占用车间通道，须经项目施工组织部门与车间及有关科室协调同意，由施工单位做好标示护栏，加以警示。</w:t>
      </w:r>
    </w:p>
    <w:p>
      <w:pPr>
        <w:pStyle w:val="67"/>
        <w:spacing w:line="300" w:lineRule="auto"/>
        <w:ind w:firstLine="600"/>
        <w:rPr>
          <w:rFonts w:ascii="黑体" w:hAnsi="黑体" w:eastAsia="黑体" w:cs="黑体"/>
          <w:sz w:val="30"/>
          <w:szCs w:val="30"/>
        </w:rPr>
      </w:pPr>
      <w:r>
        <w:rPr>
          <w:rFonts w:hint="eastAsia" w:ascii="黑体" w:hAnsi="黑体" w:eastAsia="黑体" w:cs="黑体"/>
          <w:sz w:val="30"/>
          <w:szCs w:val="30"/>
        </w:rPr>
        <w:t>三、违约责任</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因乙方人员或车辆违反有关法律、法规、规章、规范性文件、甲方有关管理规定以及本协议约定，造成的一切后果和损失，由乙方承担全部责任并赔偿甲方之损失。</w:t>
      </w:r>
    </w:p>
    <w:p>
      <w:pPr>
        <w:pStyle w:val="67"/>
        <w:spacing w:line="300" w:lineRule="auto"/>
        <w:ind w:firstLine="600"/>
        <w:rPr>
          <w:rFonts w:ascii="黑体" w:hAnsi="黑体" w:eastAsia="黑体" w:cs="黑体"/>
          <w:sz w:val="30"/>
          <w:szCs w:val="30"/>
        </w:rPr>
      </w:pPr>
      <w:r>
        <w:rPr>
          <w:rFonts w:hint="eastAsia" w:ascii="黑体" w:hAnsi="黑体" w:eastAsia="黑体" w:cs="黑体"/>
          <w:sz w:val="30"/>
          <w:szCs w:val="30"/>
        </w:rPr>
        <w:t>四、争议解决</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本协议履行过程中产生的争议，双方协商解决，协商不成的提交甲方所在地法院诉讼解决。</w:t>
      </w:r>
    </w:p>
    <w:p>
      <w:pPr>
        <w:pStyle w:val="67"/>
        <w:spacing w:line="300" w:lineRule="auto"/>
        <w:ind w:firstLine="600"/>
        <w:rPr>
          <w:rFonts w:ascii="黑体" w:hAnsi="黑体" w:eastAsia="黑体" w:cs="黑体"/>
          <w:sz w:val="30"/>
          <w:szCs w:val="30"/>
        </w:rPr>
      </w:pPr>
      <w:r>
        <w:rPr>
          <w:rFonts w:hint="eastAsia" w:ascii="黑体" w:hAnsi="黑体" w:eastAsia="黑体" w:cs="黑体"/>
          <w:sz w:val="30"/>
          <w:szCs w:val="30"/>
        </w:rPr>
        <w:t>五、附则</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1.本协议自双方签署后生效，本协议作为执行甲乙双方采购协议或其他合作协议的附件，此协议在双方合作期间有效；本协议生效前甲乙双方未签署《相关方安全协议》但实际已存在供应采购等业务合作关系并进入甲方厂区/园区的，甲乙双方同意有关业务合作适用本协议的所有条款约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2.本协议附件与主协议具有相同的法律效力。在本协议有效期内，双方就未尽事宜达成补充协议的，补充协议与本协议具有同等法律效力。</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3.甲方与乙方签订本协议时，已向乙方告知甲方的各项安全管理规定。乙方已充分了解并知悉甲方的各项安全管理规定及内容，并承诺严格遵守。</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4.按照《安全生产法》规定，乙方如有不签订本协议和未执行协议擅自在甲方厂区内施工的情况，乙方均属违章作业。</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5.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6.本协议应与具体项目合同同时签订。一式四份，甲乙双方各两份。</w:t>
      </w:r>
    </w:p>
    <w:p>
      <w:pPr>
        <w:pStyle w:val="67"/>
        <w:spacing w:line="300" w:lineRule="auto"/>
        <w:ind w:firstLine="600"/>
        <w:rPr>
          <w:rFonts w:ascii="仿宋_GB2312" w:hAnsi="仿宋_GB2312" w:eastAsia="仿宋_GB2312" w:cs="仿宋_GB2312"/>
          <w:sz w:val="30"/>
          <w:szCs w:val="30"/>
        </w:rPr>
      </w:pP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甲方（盖章）：                    乙方（盖章）：</w:t>
      </w:r>
    </w:p>
    <w:p>
      <w:pPr>
        <w:pStyle w:val="67"/>
        <w:spacing w:line="300" w:lineRule="auto"/>
        <w:ind w:firstLine="600"/>
        <w:rPr>
          <w:rFonts w:ascii="仿宋_GB2312" w:hAnsi="仿宋_GB2312" w:eastAsia="仿宋_GB2312" w:cs="仿宋_GB2312"/>
          <w:sz w:val="30"/>
          <w:szCs w:val="30"/>
        </w:rPr>
      </w:pPr>
    </w:p>
    <w:p>
      <w:pPr>
        <w:pStyle w:val="67"/>
        <w:spacing w:line="300" w:lineRule="auto"/>
        <w:ind w:firstLine="600"/>
        <w:rPr>
          <w:rFonts w:ascii="仿宋_GB2312" w:hAnsi="仿宋_GB2312" w:eastAsia="仿宋_GB2312" w:cs="仿宋_GB2312"/>
          <w:sz w:val="30"/>
          <w:szCs w:val="30"/>
        </w:rPr>
      </w:pPr>
      <w:r>
        <w:rPr>
          <w:rFonts w:hint="eastAsia" w:ascii="仿宋_GB2312" w:hAnsi="仿宋_GB2312" w:eastAsia="仿宋_GB2312" w:cs="仿宋_GB2312"/>
          <w:sz w:val="30"/>
          <w:szCs w:val="30"/>
        </w:rPr>
        <w:t>授权代表（签字）：                授权代表（签字）：</w:t>
      </w:r>
    </w:p>
    <w:p>
      <w:pPr>
        <w:pStyle w:val="67"/>
        <w:spacing w:line="300" w:lineRule="auto"/>
        <w:ind w:firstLine="600"/>
        <w:rPr>
          <w:rFonts w:ascii="仿宋_GB2312" w:hAnsi="仿宋_GB2312" w:eastAsia="仿宋_GB2312" w:cs="仿宋_GB2312"/>
          <w:sz w:val="30"/>
          <w:szCs w:val="30"/>
        </w:rPr>
      </w:pPr>
    </w:p>
    <w:p>
      <w:pPr>
        <w:spacing w:before="156" w:beforeLines="50" w:after="156" w:afterLines="50" w:line="440" w:lineRule="exact"/>
        <w:jc w:val="left"/>
        <w:outlineLvl w:val="3"/>
        <w:rPr>
          <w:rFonts w:ascii="仿宋_GB2312" w:hAnsi="仿宋_GB2312"/>
          <w:color w:val="000000" w:themeColor="text1"/>
          <w:kern w:val="0"/>
          <w:sz w:val="30"/>
          <w14:textFill>
            <w14:solidFill>
              <w14:schemeClr w14:val="tx1"/>
            </w14:solidFill>
          </w14:textFill>
        </w:rPr>
      </w:pPr>
      <w:r>
        <w:rPr>
          <w:rFonts w:hint="eastAsia" w:ascii="仿宋_GB2312" w:hAnsi="仿宋_GB2312" w:eastAsia="仿宋_GB2312" w:cs="仿宋_GB2312"/>
          <w:b/>
          <w:bCs/>
          <w:color w:val="000000" w:themeColor="text1"/>
          <w:kern w:val="0"/>
          <w:sz w:val="32"/>
          <w:szCs w:val="32"/>
          <w14:textFill>
            <w14:solidFill>
              <w14:schemeClr w14:val="tx1"/>
            </w14:solidFill>
          </w14:textFill>
        </w:rPr>
        <w:br w:type="page"/>
      </w:r>
      <w:r>
        <w:rPr>
          <w:rFonts w:hint="eastAsia" w:ascii="仿宋_GB2312" w:hAnsi="仿宋_GB2312"/>
          <w:color w:val="000000" w:themeColor="text1"/>
          <w:kern w:val="0"/>
          <w:sz w:val="30"/>
          <w14:textFill>
            <w14:solidFill>
              <w14:schemeClr w14:val="tx1"/>
            </w14:solidFill>
          </w14:textFill>
        </w:rPr>
        <w:t>附件11</w:t>
      </w:r>
      <w:r>
        <w:rPr>
          <w:rFonts w:hint="eastAsia" w:ascii="仿宋_GB2312" w:eastAsia="仿宋_GB2312"/>
          <w:color w:val="000000" w:themeColor="text1"/>
          <w:sz w:val="30"/>
          <w:szCs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施工现场管理协议</w:t>
      </w:r>
    </w:p>
    <w:p>
      <w:pPr>
        <w:adjustRightInd w:val="0"/>
        <w:snapToGrid w:val="0"/>
        <w:spacing w:line="300" w:lineRule="auto"/>
        <w:rPr>
          <w:rFonts w:ascii="仿宋_GB2312" w:eastAsia="仿宋_GB2312"/>
          <w:color w:val="000000" w:themeColor="text1"/>
          <w:sz w:val="28"/>
          <w:szCs w:val="28"/>
          <w:u w:val="single"/>
          <w14:textFill>
            <w14:solidFill>
              <w14:schemeClr w14:val="tx1"/>
            </w14:solidFill>
          </w14:textFill>
        </w:rPr>
      </w:pPr>
      <w:r>
        <w:rPr>
          <w:rFonts w:hint="eastAsia" w:ascii="仿宋_GB2312" w:eastAsia="仿宋_GB2312"/>
          <w:color w:val="000000" w:themeColor="text1"/>
          <w:sz w:val="28"/>
          <w:szCs w:val="28"/>
          <w14:textFill>
            <w14:solidFill>
              <w14:schemeClr w14:val="tx1"/>
            </w14:solidFill>
          </w14:textFill>
        </w:rPr>
        <w:t>发包人：</w:t>
      </w:r>
      <w:r>
        <w:rPr>
          <w:rFonts w:hint="eastAsia" w:ascii="仿宋_GB2312" w:eastAsia="仿宋_GB2312"/>
          <w:color w:val="000000" w:themeColor="text1"/>
          <w:sz w:val="28"/>
          <w:szCs w:val="28"/>
          <w:u w:val="single"/>
          <w14:textFill>
            <w14:solidFill>
              <w14:schemeClr w14:val="tx1"/>
            </w14:solidFill>
          </w14:textFill>
        </w:rPr>
        <w:t>重汽（济南）车桥有限公司</w:t>
      </w:r>
    </w:p>
    <w:p>
      <w:pPr>
        <w:adjustRightInd w:val="0"/>
        <w:snapToGrid w:val="0"/>
        <w:spacing w:line="300" w:lineRule="auto"/>
        <w:rPr>
          <w:rFonts w:ascii="仿宋_GB2312" w:eastAsia="仿宋_GB2312"/>
          <w:color w:val="000000" w:themeColor="text1"/>
          <w:sz w:val="28"/>
          <w:szCs w:val="28"/>
          <w:u w:val="single"/>
          <w14:textFill>
            <w14:solidFill>
              <w14:schemeClr w14:val="tx1"/>
            </w14:solidFill>
          </w14:textFill>
        </w:rPr>
      </w:pPr>
      <w:r>
        <w:rPr>
          <w:rFonts w:hint="eastAsia" w:ascii="仿宋_GB2312" w:eastAsia="仿宋_GB2312"/>
          <w:color w:val="000000" w:themeColor="text1"/>
          <w:sz w:val="28"/>
          <w:szCs w:val="28"/>
          <w14:textFill>
            <w14:solidFill>
              <w14:schemeClr w14:val="tx1"/>
            </w14:solidFill>
          </w14:textFill>
        </w:rPr>
        <w:t>承包人：</w:t>
      </w:r>
      <w:r>
        <w:rPr>
          <w:rFonts w:hint="eastAsia" w:ascii="仿宋_GB2312" w:eastAsia="仿宋_GB2312"/>
          <w:color w:val="000000" w:themeColor="text1"/>
          <w:sz w:val="28"/>
          <w:szCs w:val="28"/>
          <w:u w:val="single"/>
          <w14:textFill>
            <w14:solidFill>
              <w14:schemeClr w14:val="tx1"/>
            </w14:solidFill>
          </w14:textFill>
        </w:rPr>
        <w:t xml:space="preserve">                         </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为了切实加强施工现场管理，依照双方签订的《建设工程施工合同》，本着平等、自愿的原则，签订本协议书。甲、乙双方均须严格遵守本协议书规定的权利、责任和义务，确保现场安全文明施工。</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一、管理要求</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w:t>
      </w:r>
      <w:r>
        <w:rPr>
          <w:rFonts w:hint="eastAsia" w:eastAsia="仿宋_GB2312"/>
          <w:color w:val="000000" w:themeColor="text1"/>
          <w:sz w:val="30"/>
          <w:szCs w:val="30"/>
          <w14:textFill>
            <w14:solidFill>
              <w14:schemeClr w14:val="tx1"/>
            </w14:solidFill>
          </w14:textFill>
        </w:rPr>
        <w:t>、施工现场周围设置封闭式硬质围挡，并做到坚固、稳定、整洁美观，将施工区域和非施工区域封闭隔离，原则上应设置不少于两个施工出入口。</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2</w:t>
      </w:r>
      <w:r>
        <w:rPr>
          <w:rFonts w:hint="eastAsia" w:eastAsia="仿宋_GB2312"/>
          <w:color w:val="000000" w:themeColor="text1"/>
          <w:sz w:val="30"/>
          <w:szCs w:val="30"/>
          <w14:textFill>
            <w14:solidFill>
              <w14:schemeClr w14:val="tx1"/>
            </w14:solidFill>
          </w14:textFill>
        </w:rPr>
        <w:t>、在施工区出入口及重点醒目位置，统一设置工程概况牌、施工公示牌（标明项目名称、施工单位、监理单位、建设单位负责人姓名及电话，施工工期起止日期等）、安全生产牌、文明施工牌和施工现场总平面布置图。</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3</w:t>
      </w:r>
      <w:r>
        <w:rPr>
          <w:rFonts w:hint="eastAsia" w:eastAsia="仿宋_GB2312"/>
          <w:color w:val="000000" w:themeColor="text1"/>
          <w:sz w:val="30"/>
          <w:szCs w:val="30"/>
          <w14:textFill>
            <w14:solidFill>
              <w14:schemeClr w14:val="tx1"/>
            </w14:solidFill>
          </w14:textFill>
        </w:rPr>
        <w:t>、进场劳务工人及现场管理人员，应配合办理人员出入证，统一着装工作反光马甲，便于区分所属单位。进入施工现场的各类人员须戴好安全帽、系好帽带，否则不得准予进场；非施工人员不得擅自进入施工现场。</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4</w:t>
      </w:r>
      <w:r>
        <w:rPr>
          <w:rFonts w:hint="eastAsia" w:eastAsia="仿宋_GB2312"/>
          <w:color w:val="000000" w:themeColor="text1"/>
          <w:sz w:val="30"/>
          <w:szCs w:val="30"/>
          <w14:textFill>
            <w14:solidFill>
              <w14:schemeClr w14:val="tx1"/>
            </w14:solidFill>
          </w14:textFill>
        </w:rPr>
        <w:t>、在施工现场禁烟区设立禁烟标志，禁烟区内严禁吸烟，保证地面无烟头。</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5</w:t>
      </w:r>
      <w:r>
        <w:rPr>
          <w:rFonts w:hint="eastAsia" w:eastAsia="仿宋_GB2312"/>
          <w:color w:val="000000" w:themeColor="text1"/>
          <w:sz w:val="30"/>
          <w:szCs w:val="30"/>
          <w14:textFill>
            <w14:solidFill>
              <w14:schemeClr w14:val="tx1"/>
            </w14:solidFill>
          </w14:textFill>
        </w:rPr>
        <w:t>、施工出入口处应设洗车台、沉淀池，不具备设置洗车台的施工现场应根据需要设置高压水枪冲洗车辆，确保驶出车辆冲洗干净，不得污染场区及市政路面。施工途经的厂区道路，按照谁使用谁负责的原则，每日安排及时清扫，常态化保持道路清洁。</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6</w:t>
      </w:r>
      <w:r>
        <w:rPr>
          <w:rFonts w:hint="eastAsia" w:eastAsia="仿宋_GB2312"/>
          <w:color w:val="000000" w:themeColor="text1"/>
          <w:sz w:val="30"/>
          <w:szCs w:val="30"/>
          <w14:textFill>
            <w14:solidFill>
              <w14:schemeClr w14:val="tx1"/>
            </w14:solidFill>
          </w14:textFill>
        </w:rPr>
        <w:t>、办公区、生活区、材料堆放场、加工场、仓库区地面、工地内外通道必须作混凝土硬化处理。</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7</w:t>
      </w:r>
      <w:r>
        <w:rPr>
          <w:rFonts w:hint="eastAsia" w:eastAsia="仿宋_GB2312"/>
          <w:color w:val="000000" w:themeColor="text1"/>
          <w:sz w:val="30"/>
          <w:szCs w:val="30"/>
          <w14:textFill>
            <w14:solidFill>
              <w14:schemeClr w14:val="tx1"/>
            </w14:solidFill>
          </w14:textFill>
        </w:rPr>
        <w:t>、施工现场应按照施工总平面布置图搭设各项临时设施，定位堆放各种材料、成品、半成品和机械设备并进行标识，并码放整齐、限宽限高、上架入箱、分类挂牌标识，不得侵占场内道路及安全防护等设施。</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8</w:t>
      </w:r>
      <w:r>
        <w:rPr>
          <w:rFonts w:hint="eastAsia" w:eastAsia="仿宋_GB2312"/>
          <w:color w:val="000000" w:themeColor="text1"/>
          <w:sz w:val="30"/>
          <w:szCs w:val="30"/>
          <w14:textFill>
            <w14:solidFill>
              <w14:schemeClr w14:val="tx1"/>
            </w14:solidFill>
          </w14:textFill>
        </w:rPr>
        <w:t>、施工现场重要和危险部位必须设置明显的安全警示标志及围挡设施。施工现场的楼梯、电梯、预留口、通道、深基础、坑井、平台、屋面、楼面等一切容易坠落的临边临口必须设置有效的防护和警示设施。</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9</w:t>
      </w:r>
      <w:r>
        <w:rPr>
          <w:rFonts w:hint="eastAsia" w:eastAsia="仿宋_GB2312"/>
          <w:color w:val="000000" w:themeColor="text1"/>
          <w:sz w:val="30"/>
          <w:szCs w:val="30"/>
          <w14:textFill>
            <w14:solidFill>
              <w14:schemeClr w14:val="tx1"/>
            </w14:solidFill>
          </w14:textFill>
        </w:rPr>
        <w:t>、建筑垃圾要及时清理，并设置垃圾池指定地点集中堆放；每日下班以前，施工区域必须进行清洁整理，物料码放整齐，废料及时清运，保证现场环境卫生整洁。</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10</w:t>
      </w:r>
      <w:r>
        <w:rPr>
          <w:rFonts w:hint="eastAsia" w:eastAsia="仿宋_GB2312"/>
          <w:color w:val="000000" w:themeColor="text1"/>
          <w:sz w:val="30"/>
          <w:szCs w:val="30"/>
          <w14:textFill>
            <w14:solidFill>
              <w14:schemeClr w14:val="tx1"/>
            </w14:solidFill>
          </w14:textFill>
        </w:rPr>
        <w:t>、施工土方作业时必须采取湿法作业，配备雾炮、洒水车、喷淋等抑尘设施。装载建筑材料、垃圾或渣土的车辆，必须采取环保车型，防止尘土飞扬、洒落或流溢。施工裸土区域必须百分百密目网覆盖，施工完毕后当日及时覆盖恢复到位。</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11</w:t>
      </w:r>
      <w:r>
        <w:rPr>
          <w:rFonts w:hint="eastAsia" w:eastAsia="仿宋_GB2312"/>
          <w:color w:val="000000" w:themeColor="text1"/>
          <w:sz w:val="30"/>
          <w:szCs w:val="30"/>
          <w14:textFill>
            <w14:solidFill>
              <w14:schemeClr w14:val="tx1"/>
            </w14:solidFill>
          </w14:textFill>
        </w:rPr>
        <w:t>、项目内必须实行“三级配电三级保护”，即总漏电保护、分配电箱漏电保护和开关箱漏电保护。临时用电设施的安装和使用必须符合安装规范和安全操作规程。</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12</w:t>
      </w:r>
      <w:r>
        <w:rPr>
          <w:rFonts w:hint="eastAsia" w:eastAsia="仿宋_GB2312"/>
          <w:color w:val="000000" w:themeColor="text1"/>
          <w:sz w:val="30"/>
          <w:szCs w:val="30"/>
          <w14:textFill>
            <w14:solidFill>
              <w14:schemeClr w14:val="tx1"/>
            </w14:solidFill>
          </w14:textFill>
        </w:rPr>
        <w:t>、施工现场应严格建立和执行消防管理制度，设置消防设施，并使其保持完好的备用状态。在容易发生火灾的区域储存、使用易燃、易爆物品时应采取特殊的消防安全措施。现场动火时必须执行动火审批手续和动火监护。</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13</w:t>
      </w:r>
      <w:r>
        <w:rPr>
          <w:rFonts w:hint="eastAsia" w:eastAsia="仿宋_GB2312"/>
          <w:color w:val="000000" w:themeColor="text1"/>
          <w:sz w:val="30"/>
          <w:szCs w:val="30"/>
          <w14:textFill>
            <w14:solidFill>
              <w14:schemeClr w14:val="tx1"/>
            </w14:solidFill>
          </w14:textFill>
        </w:rPr>
        <w:t>、施工现场的已有设备设施、地下管线、已完工程等，须采取成品保护措施，施工前提前告知报备，施工过程安排人员旁站监督，施工结束及时与相关方交接见证，严禁野蛮施工。</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eastAsia="仿宋_GB2312"/>
          <w:color w:val="000000" w:themeColor="text1"/>
          <w:sz w:val="30"/>
          <w:szCs w:val="30"/>
          <w14:textFill>
            <w14:solidFill>
              <w14:schemeClr w14:val="tx1"/>
            </w14:solidFill>
          </w14:textFill>
        </w:rPr>
        <w:t>14</w:t>
      </w:r>
      <w:r>
        <w:rPr>
          <w:rFonts w:hint="eastAsia" w:eastAsia="仿宋_GB2312"/>
          <w:color w:val="000000" w:themeColor="text1"/>
          <w:sz w:val="30"/>
          <w:szCs w:val="30"/>
          <w14:textFill>
            <w14:solidFill>
              <w14:schemeClr w14:val="tx1"/>
            </w14:solidFill>
          </w14:textFill>
        </w:rPr>
        <w:t>、工程竣工后，施工单位应当在一周内拆除围挡及临时设施，恢复场地原状，做到“工完料净、场地清”</w:t>
      </w:r>
    </w:p>
    <w:p>
      <w:pPr>
        <w:adjustRightInd w:val="0"/>
        <w:snapToGrid w:val="0"/>
        <w:spacing w:line="300" w:lineRule="auto"/>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二、责任考核</w:t>
      </w:r>
    </w:p>
    <w:p>
      <w:pPr>
        <w:adjustRightInd w:val="0"/>
        <w:snapToGrid w:val="0"/>
        <w:spacing w:line="300" w:lineRule="auto"/>
        <w:ind w:firstLine="600" w:firstLineChars="200"/>
        <w:rPr>
          <w:rFonts w:eastAsia="仿宋_GB2312"/>
          <w:color w:val="000000" w:themeColor="text1"/>
          <w:sz w:val="30"/>
          <w:szCs w:val="30"/>
          <w14:textFill>
            <w14:solidFill>
              <w14:schemeClr w14:val="tx1"/>
            </w14:solidFill>
          </w14:textFill>
        </w:rPr>
      </w:pPr>
      <w:r>
        <w:rPr>
          <w:rFonts w:hint="eastAsia" w:eastAsia="仿宋_GB2312"/>
          <w:color w:val="000000" w:themeColor="text1"/>
          <w:sz w:val="30"/>
          <w:szCs w:val="30"/>
          <w14:textFill>
            <w14:solidFill>
              <w14:schemeClr w14:val="tx1"/>
            </w14:solidFill>
          </w14:textFill>
        </w:rPr>
        <w:t>对于违反上述施工现场管理标准的，发包人将视情节严重情况，依据双方《建设工程施工合同》和《基建项目考核管理办法》，给予承包人</w:t>
      </w:r>
      <w:r>
        <w:rPr>
          <w:rFonts w:eastAsia="仿宋_GB2312"/>
          <w:color w:val="000000" w:themeColor="text1"/>
          <w:sz w:val="30"/>
          <w:szCs w:val="30"/>
          <w14:textFill>
            <w14:solidFill>
              <w14:schemeClr w14:val="tx1"/>
            </w14:solidFill>
          </w14:textFill>
        </w:rPr>
        <w:t>1000</w:t>
      </w:r>
      <w:r>
        <w:rPr>
          <w:rFonts w:hint="eastAsia" w:eastAsia="仿宋_GB2312"/>
          <w:color w:val="000000" w:themeColor="text1"/>
          <w:sz w:val="30"/>
          <w:szCs w:val="30"/>
          <w14:textFill>
            <w14:solidFill>
              <w14:schemeClr w14:val="tx1"/>
            </w14:solidFill>
          </w14:textFill>
        </w:rPr>
        <w:t>-</w:t>
      </w:r>
      <w:r>
        <w:rPr>
          <w:rFonts w:eastAsia="仿宋_GB2312"/>
          <w:color w:val="000000" w:themeColor="text1"/>
          <w:sz w:val="30"/>
          <w:szCs w:val="30"/>
          <w14:textFill>
            <w14:solidFill>
              <w14:schemeClr w14:val="tx1"/>
            </w14:solidFill>
          </w14:textFill>
        </w:rPr>
        <w:t>20000</w:t>
      </w:r>
      <w:r>
        <w:rPr>
          <w:rFonts w:hint="eastAsia" w:eastAsia="仿宋_GB2312"/>
          <w:color w:val="000000" w:themeColor="text1"/>
          <w:sz w:val="30"/>
          <w:szCs w:val="30"/>
          <w14:textFill>
            <w14:solidFill>
              <w14:schemeClr w14:val="tx1"/>
            </w14:solidFill>
          </w14:textFill>
        </w:rPr>
        <w:t>元/项的</w:t>
      </w:r>
      <w:r>
        <w:rPr>
          <w:rFonts w:eastAsia="仿宋_GB2312"/>
          <w:color w:val="000000" w:themeColor="text1"/>
          <w:sz w:val="30"/>
          <w:szCs w:val="30"/>
          <w14:textFill>
            <w14:solidFill>
              <w14:schemeClr w14:val="tx1"/>
            </w14:solidFill>
          </w14:textFill>
        </w:rPr>
        <w:t>扣除</w:t>
      </w:r>
      <w:r>
        <w:rPr>
          <w:rFonts w:hint="eastAsia" w:eastAsia="仿宋_GB2312"/>
          <w:color w:val="000000" w:themeColor="text1"/>
          <w:sz w:val="30"/>
          <w:szCs w:val="30"/>
          <w14:textFill>
            <w14:solidFill>
              <w14:schemeClr w14:val="tx1"/>
            </w14:solidFill>
          </w14:textFill>
        </w:rPr>
        <w:t>。</w:t>
      </w:r>
    </w:p>
    <w:p>
      <w:pPr>
        <w:adjustRightInd w:val="0"/>
        <w:snapToGrid w:val="0"/>
        <w:spacing w:line="440" w:lineRule="exact"/>
        <w:ind w:firstLine="422" w:firstLineChars="150"/>
        <w:jc w:val="center"/>
        <w:rPr>
          <w:rFonts w:ascii="仿宋" w:hAnsi="仿宋" w:eastAsia="仿宋" w:cs="仿宋"/>
          <w:b/>
          <w:bCs/>
          <w:color w:val="000000" w:themeColor="text1"/>
          <w:sz w:val="28"/>
          <w:szCs w:val="28"/>
          <w14:textFill>
            <w14:solidFill>
              <w14:schemeClr w14:val="tx1"/>
            </w14:solidFill>
          </w14:textFill>
        </w:rPr>
      </w:pPr>
      <w:r>
        <w:rPr>
          <w:rFonts w:ascii="仿宋" w:hAnsi="仿宋" w:eastAsia="仿宋" w:cs="仿宋"/>
          <w:b/>
          <w:bCs/>
          <w:color w:val="000000" w:themeColor="text1"/>
          <w:sz w:val="28"/>
          <w:szCs w:val="28"/>
          <w14:textFill>
            <w14:solidFill>
              <w14:schemeClr w14:val="tx1"/>
            </w14:solidFill>
          </w14:textFill>
        </w:rPr>
        <w:br w:type="page"/>
      </w:r>
    </w:p>
    <w:p>
      <w:pPr>
        <w:spacing w:before="156" w:beforeLines="50" w:after="156" w:afterLines="50" w:line="440" w:lineRule="exact"/>
        <w:jc w:val="left"/>
        <w:outlineLvl w:val="3"/>
        <w:rPr>
          <w:rFonts w:ascii="仿宋_GB2312" w:eastAsia="仿宋_GB2312"/>
          <w:color w:val="000000" w:themeColor="text1"/>
          <w:sz w:val="30"/>
          <w:szCs w:val="30"/>
          <w14:textFill>
            <w14:solidFill>
              <w14:schemeClr w14:val="tx1"/>
            </w14:solidFill>
          </w14:textFill>
        </w:rPr>
      </w:pPr>
      <w:r>
        <w:rPr>
          <w:rFonts w:hint="eastAsia" w:ascii="仿宋_GB2312"/>
          <w:color w:val="000000" w:themeColor="text1"/>
          <w:sz w:val="30"/>
          <w14:textFill>
            <w14:solidFill>
              <w14:schemeClr w14:val="tx1"/>
            </w14:solidFill>
          </w14:textFill>
        </w:rPr>
        <w:t>附件12</w:t>
      </w:r>
      <w:r>
        <w:rPr>
          <w:rFonts w:hint="eastAsia" w:ascii="仿宋_GB2312" w:eastAsia="仿宋_GB2312"/>
          <w:color w:val="000000" w:themeColor="text1"/>
          <w:sz w:val="30"/>
          <w:szCs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color w:val="000000" w:themeColor="text1"/>
          <w:sz w:val="32"/>
          <w14:textFill>
            <w14:solidFill>
              <w14:schemeClr w14:val="tx1"/>
            </w14:solidFill>
          </w14:textFill>
        </w:rPr>
        <w:t>项目考核管理（细则）协议</w:t>
      </w:r>
    </w:p>
    <w:p>
      <w:pPr>
        <w:adjustRightInd w:val="0"/>
        <w:snapToGrid w:val="0"/>
        <w:spacing w:line="300" w:lineRule="auto"/>
        <w:rPr>
          <w:rFonts w:ascii="仿宋_GB2312" w:eastAsia="仿宋_GB2312"/>
          <w:color w:val="000000" w:themeColor="text1"/>
          <w:sz w:val="28"/>
          <w:szCs w:val="28"/>
          <w:u w:val="single"/>
          <w14:textFill>
            <w14:solidFill>
              <w14:schemeClr w14:val="tx1"/>
            </w14:solidFill>
          </w14:textFill>
        </w:rPr>
      </w:pPr>
      <w:r>
        <w:rPr>
          <w:rFonts w:hint="eastAsia" w:ascii="仿宋_GB2312" w:eastAsia="仿宋_GB2312"/>
          <w:color w:val="000000" w:themeColor="text1"/>
          <w:sz w:val="28"/>
          <w:szCs w:val="28"/>
          <w14:textFill>
            <w14:solidFill>
              <w14:schemeClr w14:val="tx1"/>
            </w14:solidFill>
          </w14:textFill>
        </w:rPr>
        <w:t>发包人：</w:t>
      </w:r>
      <w:r>
        <w:rPr>
          <w:rFonts w:hint="eastAsia" w:ascii="仿宋_GB2312" w:eastAsia="仿宋_GB2312"/>
          <w:color w:val="000000" w:themeColor="text1"/>
          <w:sz w:val="28"/>
          <w:szCs w:val="28"/>
          <w:u w:val="single"/>
          <w14:textFill>
            <w14:solidFill>
              <w14:schemeClr w14:val="tx1"/>
            </w14:solidFill>
          </w14:textFill>
        </w:rPr>
        <w:t>重汽（济南）车桥有限公司</w:t>
      </w:r>
    </w:p>
    <w:p>
      <w:pPr>
        <w:adjustRightInd w:val="0"/>
        <w:snapToGrid w:val="0"/>
        <w:spacing w:line="300" w:lineRule="auto"/>
        <w:rPr>
          <w:rFonts w:ascii="仿宋_GB2312" w:eastAsia="仿宋_GB2312"/>
          <w:color w:val="000000" w:themeColor="text1"/>
          <w:sz w:val="28"/>
          <w:szCs w:val="28"/>
          <w:u w:val="single"/>
          <w14:textFill>
            <w14:solidFill>
              <w14:schemeClr w14:val="tx1"/>
            </w14:solidFill>
          </w14:textFill>
        </w:rPr>
      </w:pPr>
      <w:r>
        <w:rPr>
          <w:rFonts w:hint="eastAsia" w:ascii="仿宋_GB2312" w:eastAsia="仿宋_GB2312"/>
          <w:color w:val="000000" w:themeColor="text1"/>
          <w:sz w:val="28"/>
          <w:szCs w:val="28"/>
          <w14:textFill>
            <w14:solidFill>
              <w14:schemeClr w14:val="tx1"/>
            </w14:solidFill>
          </w14:textFill>
        </w:rPr>
        <w:t>承包人：</w:t>
      </w:r>
      <w:r>
        <w:rPr>
          <w:rFonts w:hint="eastAsia" w:ascii="仿宋_GB2312" w:eastAsia="仿宋_GB2312"/>
          <w:color w:val="000000" w:themeColor="text1"/>
          <w:sz w:val="28"/>
          <w:szCs w:val="28"/>
          <w:u w:val="single"/>
          <w14:textFill>
            <w14:solidFill>
              <w14:schemeClr w14:val="tx1"/>
            </w14:solidFill>
          </w14:textFill>
        </w:rPr>
        <w:t xml:space="preserve">                         </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双方同意执行以下考核细则，承包人同意按照下述约定由发包人扣除相应费用作为考核，具体如下：</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一、施工进度考核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1.1施工单位须向监理、项目指挥部按时提交总进度计划、周计划、专项计划以及各节点的控制计划，提交的计划必须经项目经理签字加盖项目章，否则视为无效提交。对未按要求时间提交的，每拖延一天处以2000-10000元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1.2施工计划编制质量差，屡次整改达不到要求的，处以2000-5000元/次考核。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1.3周计划进度、专项计划进度、各控制点进度的子项任务未按计划完成，且无正当理由延期的，每一项拖延一天，处以2000-10000元/天/项考核。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1.4里程碑节点滞后的，按照合同约定的违约条款，处以不低于合同额的万分之三/天且不低于1万元/天考核。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1.5施工单位为完成进度计划应制定有效的保证措施，包括人、料、机等资源投入，作业时间调整等，对人、料、机投入不能满足施工进度计划要求并对工程进度造成潜在影响的，处以5000-10000元考核。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1.6工程进度滞后，现场项目部安排加班抢工，对施工单位不响应抢工要求的，不组织工人机械加班抢工的，处以20000-50000元/天考核。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1.7对于临时工作任务，经现场项目部以书面工作联系单的形式向施工单位发出工作指令，要求限期完成，施工单位无正当理由未按期完成的，每拖延一天处以5000-20000元/天考核。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1.8在周例会或专题会议上，现场项目部要求限期完成的工作任务，施工单位无正当理由未按时完成的，每拖延一天处以5000-20000元/天/项考核。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1.9施工进度滞后，对组织抢工措施不力，消极应对、采取考核措施仍不见效的施工单位，将采取公司发函、约谈责任单位企业负责人，情节严重的将列入黑名单，取消今后项目招标入围资格。</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二、施工安全文明考核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2.1项目部或监理单位下达的书面整改文件（包括各类通知单、联系单、会议要求等）未按要求时间整改完毕的，每拖延一天处以5000-20000元/天考核。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2.2对不按时参加现场组织的安全周、月及专项检查的，处以2000-5000元/次考核。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 xml:space="preserve">2.3“三宝四口”措施不到位，对不正确使用或不使用安全帽、安全带的，予以500元/人·次考核。对“四口”存在的安全隐患，督促后仍未整改的，予以5000元/处考核，并每拖延一天处以10000元考核。        </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2.4特种作业未能持证上岗、未办理动火审批手续、消防器材未配备到位、施工人员未佩戴安全帽、安全绳、高空作业防护不到位、施工现场吸烟等违规行为，每发现一处，处以2000-5000元考核。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2.5施工单位应每日工完料净，施工垃圾集中清运，道路遗撒污染、施工垃圾及包装物乱堆乱弃等现象，每发现一处，处以2000-10000元考核。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2.6对抑尘措施不到位，发生扬尘现象的，处以2000-10000元/次考核；对被环保、渣土办部门处罚的，除相关处罚所有费用均由施工单位承担外，建设单位对施工单位予以加倍处罚。</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2.7若施工方对现场存在的安全隐患不予整改或迟迟整改不到位，且采取考核措施后仍不见效的，现场项目部将要求停工整改，并书面通报施工单位企业负责人现场处理，对整改效果仍达不到各方满意的，将上报建设行政主管部门。</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三、施工质量考核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3.1未按要求执行样品样板开路的或擅自更换材料品牌的，处以5000-50000元/次考核。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3.2进场材料不合格，进行退场处理并予以警告，重新进场后经检查仍不合格的或材料进场发生两次及以上不合格的，处以5000-20000元/次考核。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3.3未经验收，擅自进入下道工序施工的，处以5000～20000元/次考核。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3.4对于质量问题不按监理工程师通知单要求整改，擅自进行下一步施工的处以5000～10000元/项考核。在接到监理通知后未在通知时间内完成整改的，处以2000～10000元/项考核。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3.5隐蔽工程未经监理单位检查验收擅自隐蔽的，须打开或拆除后重新检查，并处以5000～20000元/次考核。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3.6同一部位、同一施工质量问题，签发第二份整改通知单的，予以加倍处罚，处以20000～50000元/项考核。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 xml:space="preserve">3.7对于发生较大、重大质量事故的造成严重影响的，除限期整改、返工并承担损失责任外，另处以10万-20万元/项考核。     </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四、其他事项</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4.1对未按时参加会议、工作执行不力、工作质量不达要求的，视情节严重程度，对责任单位处以1000-5000元/次考核。</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4.2现场施工的质量、进度、安全等发生的考核，由监理单位（如有）出具，经总监理工程师签字盖章后报送现场项目部负责人签字盖章后即为生效</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4.3监理单位或技改项目部应于每月20日汇总当月累计考核单，并在各单位当月形象进度款中扣除或从合同履约保函（保证金）中扣除。</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4.4对已经发生的考核，若经积极采取措施，最终完成进度节点或整改结果满足合同及项目部要求的，可视情况予以减免、取消。</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4.5若经采取考核措施后责任单位仍然消极应对、效果不明显，发包人项目部将采取约谈企业负责人、书面发函等措施，情节严重的将列入发包人供方黑名单。</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r>
        <w:rPr>
          <w:rFonts w:hint="eastAsia" w:ascii="仿宋_GB2312" w:hAnsi="仿宋_GB2312" w:eastAsia="仿宋_GB2312" w:cs="仿宋_GB2312"/>
          <w:color w:val="000000" w:themeColor="text1"/>
          <w:sz w:val="30"/>
          <w:szCs w:val="30"/>
          <w14:textFill>
            <w14:solidFill>
              <w14:schemeClr w14:val="tx1"/>
            </w14:solidFill>
          </w14:textFill>
        </w:rPr>
        <w:t>4.6各单位按本规定受处罚后并不免除按法律法规和合同应承担的有关责任。</w:t>
      </w: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p>
    <w:p>
      <w:pPr>
        <w:snapToGrid w:val="0"/>
        <w:spacing w:line="520" w:lineRule="exact"/>
        <w:ind w:firstLine="600" w:firstLineChars="200"/>
        <w:rPr>
          <w:rFonts w:ascii="仿宋_GB2312" w:hAnsi="仿宋_GB2312" w:eastAsia="仿宋_GB2312" w:cs="仿宋_GB2312"/>
          <w:color w:val="000000" w:themeColor="text1"/>
          <w:sz w:val="30"/>
          <w:szCs w:val="30"/>
          <w14:textFill>
            <w14:solidFill>
              <w14:schemeClr w14:val="tx1"/>
            </w14:solidFill>
          </w14:textFill>
        </w:rPr>
      </w:pPr>
    </w:p>
    <w:p>
      <w:pPr>
        <w:rPr>
          <w:rFonts w:ascii="仿宋" w:hAnsi="仿宋" w:eastAsia="仿宋" w:cs="仿宋"/>
          <w:color w:val="000000" w:themeColor="text1"/>
          <w:sz w:val="32"/>
          <w:szCs w:val="32"/>
          <w14:textFill>
            <w14:solidFill>
              <w14:schemeClr w14:val="tx1"/>
            </w14:solidFill>
          </w14:textFill>
        </w:rPr>
      </w:pPr>
      <w:r>
        <w:rPr>
          <w:rFonts w:ascii="仿宋" w:hAnsi="仿宋" w:eastAsia="仿宋" w:cs="仿宋"/>
          <w:color w:val="000000" w:themeColor="text1"/>
          <w:sz w:val="32"/>
          <w:szCs w:val="32"/>
          <w14:textFill>
            <w14:solidFill>
              <w14:schemeClr w14:val="tx1"/>
            </w14:solidFill>
          </w14:textFill>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w:t>
      </w:r>
      <w:r>
        <w:rPr>
          <w:rFonts w:ascii="仿宋_GB2312"/>
          <w:color w:val="000000" w:themeColor="text1"/>
          <w:sz w:val="30"/>
          <w14:textFill>
            <w14:solidFill>
              <w14:schemeClr w14:val="tx1"/>
            </w14:solidFill>
          </w14:textFill>
        </w:rPr>
        <w:t>1</w:t>
      </w:r>
      <w:r>
        <w:rPr>
          <w:rFonts w:hint="eastAsia" w:ascii="仿宋_GB2312"/>
          <w:color w:val="000000" w:themeColor="text1"/>
          <w:sz w:val="30"/>
          <w14:textFill>
            <w14:solidFill>
              <w14:schemeClr w14:val="tx1"/>
            </w14:solidFill>
          </w14:textFill>
        </w:rPr>
        <w:t>3</w:t>
      </w:r>
      <w:r>
        <w:rPr>
          <w:rFonts w:hint="eastAsia" w:ascii="仿宋_GB2312" w:eastAsia="仿宋_GB2312"/>
          <w:color w:val="000000" w:themeColor="text1"/>
          <w:sz w:val="30"/>
          <w:szCs w:val="30"/>
          <w14:textFill>
            <w14:solidFill>
              <w14:schemeClr w14:val="tx1"/>
            </w14:solidFill>
          </w14:textFill>
        </w:rPr>
        <w:t>：</w:t>
      </w:r>
    </w:p>
    <w:p>
      <w:pPr>
        <w:spacing w:before="156" w:beforeLines="50" w:after="156" w:afterLines="50" w:line="440" w:lineRule="exact"/>
        <w:jc w:val="center"/>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廉洁诚信协议</w:t>
      </w:r>
    </w:p>
    <w:p>
      <w:pPr>
        <w:spacing w:line="480" w:lineRule="auto"/>
        <w:ind w:left="119" w:right="3771"/>
        <w:rPr>
          <w:rFonts w:ascii="仿宋_GB2312" w:hAnsi="楷体" w:eastAsia="仿宋_GB2312" w:cs="楷体"/>
          <w:b/>
          <w:sz w:val="30"/>
          <w:szCs w:val="30"/>
        </w:rPr>
      </w:pPr>
      <w:r>
        <w:rPr>
          <w:rFonts w:hint="eastAsia" w:ascii="仿宋_GB2312" w:hAnsi="楷体" w:eastAsia="仿宋_GB2312" w:cs="楷体"/>
          <w:b/>
          <w:sz w:val="30"/>
          <w:szCs w:val="30"/>
        </w:rPr>
        <w:t>甲方：重汽（济南）车桥有限公司</w:t>
      </w:r>
    </w:p>
    <w:p>
      <w:pPr>
        <w:spacing w:line="480" w:lineRule="auto"/>
        <w:ind w:left="119" w:right="3771"/>
        <w:rPr>
          <w:rFonts w:ascii="仿宋_GB2312" w:hAnsi="楷体" w:eastAsia="仿宋_GB2312" w:cs="楷体"/>
          <w:b/>
          <w:sz w:val="30"/>
          <w:szCs w:val="30"/>
        </w:rPr>
      </w:pPr>
      <w:r>
        <w:rPr>
          <w:rFonts w:hint="eastAsia" w:ascii="仿宋_GB2312" w:hAnsi="楷体" w:eastAsia="仿宋_GB2312" w:cs="楷体"/>
          <w:b/>
          <w:sz w:val="30"/>
          <w:szCs w:val="30"/>
        </w:rPr>
        <w:t xml:space="preserve">乙方： </w:t>
      </w:r>
      <w:r>
        <w:rPr>
          <w:rFonts w:ascii="仿宋_GB2312" w:hAnsi="楷体" w:eastAsia="仿宋_GB2312" w:cs="楷体"/>
          <w:b/>
          <w:sz w:val="30"/>
          <w:szCs w:val="30"/>
        </w:rPr>
        <w:t xml:space="preserve">        </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乙方是甲方或甲方全资、控股、参股企业的供应商、服务商或采购商、经销商，甲方作为采购方或销售方（包含甲方及其关联企业，以下统称甲方），为保证双方长期稳定合作和健康发展，保证各合作主体之间公平、公正、公开的良性竞争，共同抵制商业贿赂等一切不正当行为，营造诚实信用的商业氛围，积极维护双方信誉,共同加强廉洁自律建设，甲乙双方在平等、自愿、协商一致的原则下，签订本协议。</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1.甲乙双方应当共同遵守国家、地方法律法规以及本协议的约定，在合同的订立、履行过程中廉洁自律，绝不弄虚作假、以次充好，虚结虚算。</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2.乙方声明并承诺甲方人员或其配偶、子女及其配偶等亲属和其他特定关系人（甲方人员为领导干部的，其他特定关系人包含身边工作人员）没有直接或间接投资乙方或持有乙方股权，没有直接或间接投资乙方关联企业或持有乙方关联企业股权。</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3.乙方承诺乙方或乙方关联企业股东、实际出资人或持股人、高管、主要业务人员不得与甲方人员或其配偶、子女及其配偶等亲属和其他特定关系人共同成立公司，不得聘请甲方人员或其配偶、子女及其配偶等亲属和其他特定关系人在乙方或乙方关联企业股东或实际出资人或高管或主要业务人员成立的企业中担任高管或为其违规发放薪酬。违规发放薪酬包括不实际工作而获取薪酬或者虽实际工作但领取明显超出同职级标准薪酬。（若乙方为甲方新合作伙伴，如在本协议签订前乙方存在本条规定情形的，需在本协议签订后30日内，将相关情况报甲方所属重汽集团的纪检监察部门备案）。</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4.乙方承诺依法开展经营活动，不得有任何形式的商业贿赂行为。乙方一经发现其员工或其配偶、子女及其配偶等亲属和其他特定关系人存在任何商业贿赂行为，应立即通知甲方并自行进行查处和整改。若甲方认为上述行为严重影响到甲方的利益，则甲方有权单方解除双方已签订的所有合同协议，并要求乙方赔偿。</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5.乙方承诺不以任何理由为甲方人员及其配偶、子女及其配偶等亲属和其他特定关系人提供如下：</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a)赠送礼品、礼金、消费卡（券）、购物卡、充值卡、信用卡和有价证券、股权、其他金融产品等财物和其他贵重物品；</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b)报销个人费用或以讲课费、课题费、咨询费等名义支付费用；</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c)以洽谈业务、签订合同等为借口宴请或邀请外出旅游、健身、娱乐和进入营业性娱乐场所；</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d)购置或提供通讯、交通工具、钱款、住房、车辆等或提供通过民间借贷等金融助其获得大额回报；</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e)住房装修、婚丧嫁娶、家属和子女的工作安排以及出国等提供任何金钱或非金钱方式的资助或帮助；</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f)吸收存款、推销金融产品、经营名贵特产类资源等提供帮助谋取利益；</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g)其他可能影响甲方人员公平、公正的履行职权或者履行职责的情形。</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6.乙方应当通过正常途径开展相关业务，决不为谋取不正当利益诱使甲方人员就采购、服务或销售、经销的物项种类、物项数量、价格条件、付款条件、质量问题处理等方面私下商谈或达成默契；决不以任何方式诱使甲方人员接受或共同编造虚假议价及质量资料、影响交易价格或交易之达成、违背职务、将合同权利义务转让给第三方及其它损害甲方利益的行为。</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7.若乙方发现甲方人员或其配偶、子女及其配偶等亲属和其他特定关系人有任何形式的索贿受贿行为，乙方有责任向甲方所属重汽集团的纪检监察部门举报（举报电话：0531-58062233，举报邮箱：zgzqjw@sinotruk.com）。甲方不得以任何借口对乙方进行报复。对举报属实和严格遵守廉洁协议的乙方，在同等条件下甲方优先考虑与乙方继续合作并给予更优惠的商务合作条件。</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8.若乙方知悉其它与甲方合作的供应商、服务商或采购商、经销商等合作伙伴存在违反本协议规定之行为，乙方应向甲方或甲方所属重汽集团的纪检监察部门检举并提供证据。</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9.乙方承诺在双方业务往来期间，不得对甲方人员采取任何手段使其离开甲方到乙方或乙方关联企业任职，若出现上述情况，则属于乙方违约，应承担给甲方造成的一切损失。</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10.乙方承诺不聘任甲方内退领导干部或其他人员在乙方或乙方关联企业工作；乙方承诺不聘任甲方离职或退休三年内的领导干部或其他人员在乙方或乙方关联企业工作。</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11.若乙方违反本协议约定的任何一项，乙方自愿向甲方支付5万元至50万元人民币或违反协议约定事件发现的上年度采购额的10%作为违约金，给甲方造成损失的，还应承担全部赔偿责任。另外甲方还有权对乙方采取降低供货比例、取消供货资格、单方解除采购合同等措施。情节特别严重或触犯法律法规的，将交由甲方住所地司法机关依法进行处理。</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12.关联企业是指：a）本企业的实际控制人，如甲方的实际控制人中国重型汽车集团有限公司或山东重工集团有限公司等；b）本企业实际控制人对外出资，拥有股权超过50%的各级子公司；c）本企业实际控制人直接或间接持股比例虽未超过50%，但为第一大股东，并且通过股东协议、公司章程、董事会决议或者其他协议安排等能够对其实际支配的企业或单位。</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本企业股东、管理人员及其配偶、子女及其配偶等亲属和其他特定关系人以及本企业实际控制人、实际控制人持股超过50%的各级子公司、实际控制人持股未超过50%但能够实际支配的企业或单位的股东、管理人员及其配偶、子女及其配偶等亲属和其他特定关系人，直接持股、间接持股或以其他形式投资的企业或单位，视同本企业的关联企业。</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13.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14.本协议作为执行甲乙双方采购协议或其他合作合同、协议的附件，自双方签署之日起生效，此协议在甲乙双方业务合作期间有效；本协议生效后将自动替代生效日之前双方已签订的《供应商廉洁诚信协议》或类同协议约定；本协议生效前甲乙双方未签署《供应商廉洁诚信协议》或类同协议约定等但实际已存在供应采购等业务合作关系的，甲乙双方同意有关业务合作适用本协议的所有条款约定。</w:t>
      </w:r>
    </w:p>
    <w:p>
      <w:pPr>
        <w:pStyle w:val="67"/>
        <w:tabs>
          <w:tab w:val="left" w:pos="1244"/>
        </w:tabs>
        <w:adjustRightInd w:val="0"/>
        <w:spacing w:line="560" w:lineRule="exact"/>
        <w:ind w:firstLine="592"/>
        <w:rPr>
          <w:rFonts w:ascii="仿宋_GB2312" w:hAnsi="楷体" w:eastAsia="仿宋_GB2312" w:cs="楷体"/>
          <w:spacing w:val="-2"/>
          <w:sz w:val="30"/>
          <w:szCs w:val="30"/>
        </w:rPr>
      </w:pPr>
      <w:r>
        <w:rPr>
          <w:rFonts w:hint="eastAsia" w:ascii="仿宋_GB2312" w:hAnsi="楷体" w:eastAsia="仿宋_GB2312" w:cs="楷体"/>
          <w:spacing w:val="-2"/>
          <w:sz w:val="30"/>
          <w:szCs w:val="30"/>
        </w:rPr>
        <w:t>15.本协议一式二份，双方各执一份，具有同等法律效力。若产生争议，双方协商解决，协商不成的在甲方所在地有管辖权的法院诉讼解决。</w:t>
      </w:r>
    </w:p>
    <w:p>
      <w:pPr>
        <w:pStyle w:val="67"/>
        <w:tabs>
          <w:tab w:val="left" w:pos="1244"/>
        </w:tabs>
        <w:adjustRightInd w:val="0"/>
        <w:spacing w:line="305" w:lineRule="auto"/>
        <w:ind w:firstLine="600"/>
        <w:rPr>
          <w:rFonts w:ascii="仿宋_GB2312" w:hAnsi="楷体" w:eastAsia="仿宋_GB2312" w:cs="楷体"/>
          <w:sz w:val="30"/>
          <w:szCs w:val="30"/>
        </w:rPr>
      </w:pPr>
    </w:p>
    <w:p>
      <w:pPr>
        <w:tabs>
          <w:tab w:val="left" w:pos="5457"/>
        </w:tabs>
        <w:spacing w:before="1"/>
        <w:ind w:left="117"/>
        <w:rPr>
          <w:rFonts w:ascii="仿宋_GB2312" w:hAnsi="楷体" w:eastAsia="仿宋_GB2312" w:cs="楷体"/>
          <w:b/>
          <w:sz w:val="30"/>
          <w:szCs w:val="30"/>
        </w:rPr>
      </w:pPr>
      <w:r>
        <w:rPr>
          <w:rFonts w:hint="eastAsia" w:ascii="仿宋_GB2312" w:hAnsi="楷体" w:eastAsia="仿宋_GB2312" w:cs="楷体"/>
          <w:b/>
          <w:spacing w:val="-1"/>
          <w:w w:val="99"/>
          <w:sz w:val="30"/>
          <w:szCs w:val="30"/>
        </w:rPr>
        <w:t>甲方（盖章</w:t>
      </w:r>
      <w:r>
        <w:rPr>
          <w:rFonts w:hint="eastAsia" w:ascii="仿宋_GB2312" w:hAnsi="楷体" w:eastAsia="仿宋_GB2312" w:cs="楷体"/>
          <w:b/>
          <w:spacing w:val="-140"/>
          <w:w w:val="99"/>
          <w:sz w:val="30"/>
          <w:szCs w:val="30"/>
        </w:rPr>
        <w:t>）</w:t>
      </w:r>
      <w:r>
        <w:rPr>
          <w:rFonts w:hint="eastAsia" w:ascii="仿宋_GB2312" w:hAnsi="楷体" w:eastAsia="仿宋_GB2312" w:cs="楷体"/>
          <w:b/>
          <w:w w:val="99"/>
          <w:sz w:val="30"/>
          <w:szCs w:val="30"/>
        </w:rPr>
        <w:t>：</w:t>
      </w:r>
      <w:r>
        <w:rPr>
          <w:rFonts w:hint="eastAsia" w:ascii="仿宋_GB2312" w:hAnsi="楷体" w:eastAsia="仿宋_GB2312" w:cs="楷体"/>
          <w:b/>
          <w:sz w:val="30"/>
          <w:szCs w:val="30"/>
        </w:rPr>
        <w:tab/>
      </w:r>
      <w:r>
        <w:rPr>
          <w:rFonts w:hint="eastAsia" w:ascii="仿宋_GB2312" w:hAnsi="楷体" w:eastAsia="仿宋_GB2312" w:cs="楷体"/>
          <w:b/>
          <w:spacing w:val="-1"/>
          <w:w w:val="99"/>
          <w:sz w:val="30"/>
          <w:szCs w:val="30"/>
        </w:rPr>
        <w:t>乙方（盖</w:t>
      </w:r>
      <w:r>
        <w:rPr>
          <w:rFonts w:hint="eastAsia" w:ascii="仿宋_GB2312" w:hAnsi="楷体" w:eastAsia="仿宋_GB2312" w:cs="楷体"/>
          <w:b/>
          <w:spacing w:val="2"/>
          <w:w w:val="99"/>
          <w:sz w:val="30"/>
          <w:szCs w:val="30"/>
        </w:rPr>
        <w:t>章</w:t>
      </w:r>
      <w:r>
        <w:rPr>
          <w:rFonts w:hint="eastAsia" w:ascii="仿宋_GB2312" w:hAnsi="楷体" w:eastAsia="仿宋_GB2312" w:cs="楷体"/>
          <w:b/>
          <w:spacing w:val="-142"/>
          <w:w w:val="99"/>
          <w:sz w:val="30"/>
          <w:szCs w:val="30"/>
        </w:rPr>
        <w:t>）</w:t>
      </w:r>
      <w:r>
        <w:rPr>
          <w:rFonts w:hint="eastAsia" w:ascii="仿宋_GB2312" w:hAnsi="楷体" w:eastAsia="仿宋_GB2312" w:cs="楷体"/>
          <w:b/>
          <w:w w:val="99"/>
          <w:sz w:val="30"/>
          <w:szCs w:val="30"/>
        </w:rPr>
        <w:t>：</w:t>
      </w:r>
    </w:p>
    <w:p>
      <w:pPr>
        <w:pStyle w:val="19"/>
      </w:pPr>
    </w:p>
    <w:p>
      <w:pPr>
        <w:pStyle w:val="19"/>
      </w:pPr>
    </w:p>
    <w:p>
      <w:pPr>
        <w:tabs>
          <w:tab w:val="left" w:pos="5457"/>
        </w:tabs>
        <w:ind w:left="117"/>
        <w:rPr>
          <w:rFonts w:ascii="仿宋_GB2312" w:hAnsi="楷体" w:eastAsia="仿宋_GB2312" w:cs="楷体"/>
          <w:b/>
          <w:sz w:val="30"/>
          <w:szCs w:val="30"/>
        </w:rPr>
      </w:pPr>
      <w:r>
        <w:rPr>
          <w:rFonts w:hint="eastAsia" w:ascii="仿宋_GB2312" w:hAnsi="楷体" w:eastAsia="仿宋_GB2312" w:cs="楷体"/>
          <w:b/>
          <w:sz w:val="30"/>
          <w:szCs w:val="30"/>
        </w:rPr>
        <w:t>法定代表/授权代表</w:t>
      </w:r>
      <w:r>
        <w:rPr>
          <w:rFonts w:hint="eastAsia" w:ascii="仿宋_GB2312" w:hAnsi="楷体" w:eastAsia="仿宋_GB2312" w:cs="楷体"/>
          <w:b/>
          <w:sz w:val="30"/>
          <w:szCs w:val="30"/>
        </w:rPr>
        <w:tab/>
      </w:r>
      <w:r>
        <w:rPr>
          <w:rFonts w:hint="eastAsia" w:ascii="仿宋_GB2312" w:hAnsi="楷体" w:eastAsia="仿宋_GB2312" w:cs="楷体"/>
          <w:b/>
          <w:sz w:val="30"/>
          <w:szCs w:val="30"/>
        </w:rPr>
        <w:t>法定代表/授权代表</w:t>
      </w:r>
    </w:p>
    <w:p>
      <w:pPr>
        <w:tabs>
          <w:tab w:val="left" w:pos="5457"/>
        </w:tabs>
        <w:ind w:left="117"/>
        <w:rPr>
          <w:rFonts w:ascii="仿宋_GB2312" w:hAnsi="楷体" w:eastAsia="仿宋_GB2312" w:cs="楷体"/>
          <w:b/>
          <w:sz w:val="30"/>
          <w:szCs w:val="30"/>
        </w:rPr>
      </w:pPr>
    </w:p>
    <w:p>
      <w:pPr>
        <w:pStyle w:val="2"/>
        <w:ind w:left="420" w:firstLine="420"/>
        <w:rPr>
          <w:rFonts w:ascii="仿宋_GB2312" w:eastAsia="仿宋_GB2312"/>
        </w:rPr>
      </w:pPr>
    </w:p>
    <w:p>
      <w:pPr>
        <w:tabs>
          <w:tab w:val="left" w:pos="5457"/>
        </w:tabs>
        <w:ind w:left="117"/>
        <w:rPr>
          <w:rFonts w:ascii="仿宋_GB2312" w:hAnsi="楷体" w:eastAsia="仿宋_GB2312" w:cs="楷体"/>
          <w:b/>
          <w:sz w:val="30"/>
          <w:szCs w:val="30"/>
        </w:rPr>
      </w:pPr>
      <w:r>
        <w:rPr>
          <w:rFonts w:hint="eastAsia" w:ascii="仿宋_GB2312" w:hAnsi="楷体" w:eastAsia="仿宋_GB2312" w:cs="楷体"/>
          <w:b/>
          <w:sz w:val="30"/>
          <w:szCs w:val="30"/>
        </w:rPr>
        <w:t>日</w:t>
      </w:r>
      <w:r>
        <w:rPr>
          <w:rFonts w:hint="eastAsia" w:ascii="仿宋_GB2312" w:hAnsi="楷体" w:eastAsia="仿宋_GB2312" w:cs="楷体"/>
          <w:b/>
          <w:spacing w:val="-4"/>
          <w:sz w:val="30"/>
          <w:szCs w:val="30"/>
        </w:rPr>
        <w:t xml:space="preserve"> </w:t>
      </w:r>
      <w:r>
        <w:rPr>
          <w:rFonts w:hint="eastAsia" w:ascii="仿宋_GB2312" w:hAnsi="楷体" w:eastAsia="仿宋_GB2312" w:cs="楷体"/>
          <w:b/>
          <w:sz w:val="30"/>
          <w:szCs w:val="30"/>
        </w:rPr>
        <w:t>期:</w:t>
      </w:r>
      <w:r>
        <w:rPr>
          <w:rFonts w:hint="eastAsia" w:ascii="仿宋_GB2312" w:hAnsi="楷体" w:eastAsia="仿宋_GB2312" w:cs="楷体"/>
          <w:b/>
          <w:sz w:val="30"/>
          <w:szCs w:val="30"/>
        </w:rPr>
        <w:tab/>
      </w:r>
      <w:r>
        <w:rPr>
          <w:rFonts w:hint="eastAsia" w:ascii="仿宋_GB2312" w:hAnsi="楷体" w:eastAsia="仿宋_GB2312" w:cs="楷体"/>
          <w:b/>
          <w:sz w:val="30"/>
          <w:szCs w:val="30"/>
        </w:rPr>
        <w:t>日 期:</w:t>
      </w:r>
    </w:p>
    <w:p>
      <w:pPr>
        <w:adjustRightInd w:val="0"/>
        <w:snapToGrid w:val="0"/>
        <w:spacing w:line="300" w:lineRule="auto"/>
        <w:ind w:firstLine="800" w:firstLineChars="200"/>
        <w:rPr>
          <w:rFonts w:ascii="仿宋_GB2312" w:hAnsi="仿宋_GB2312" w:eastAsia="仿宋_GB2312" w:cs="仿宋_GB2312"/>
          <w:sz w:val="30"/>
          <w:szCs w:val="30"/>
        </w:rPr>
      </w:pPr>
      <w:r>
        <w:rPr>
          <w:rFonts w:hint="eastAsia" w:ascii="方正小标宋简体" w:hAnsi="方正小标宋简体" w:eastAsia="方正小标宋简体" w:cs="方正小标宋简体"/>
          <w:sz w:val="40"/>
          <w:szCs w:val="21"/>
        </w:rPr>
        <w:t xml:space="preserve"> </w:t>
      </w:r>
      <w:r>
        <w:rPr>
          <w:rFonts w:ascii="方正小标宋简体" w:hAnsi="方正小标宋简体" w:eastAsia="方正小标宋简体" w:cs="方正小标宋简体"/>
          <w:sz w:val="40"/>
          <w:szCs w:val="21"/>
        </w:rPr>
        <w:t xml:space="preserve">           </w:t>
      </w:r>
    </w:p>
    <w:p>
      <w:pPr>
        <w:pStyle w:val="67"/>
        <w:tabs>
          <w:tab w:val="left" w:pos="1244"/>
        </w:tabs>
        <w:adjustRightInd w:val="0"/>
        <w:spacing w:line="305" w:lineRule="auto"/>
        <w:ind w:firstLine="592"/>
        <w:rPr>
          <w:rFonts w:ascii="仿宋_GB2312" w:hAnsi="楷体" w:eastAsia="仿宋_GB2312" w:cs="楷体"/>
          <w:spacing w:val="-2"/>
          <w:sz w:val="30"/>
          <w:szCs w:val="30"/>
        </w:rPr>
      </w:pPr>
    </w:p>
    <w:p>
      <w:pPr>
        <w:rPr>
          <w:rFonts w:ascii="黑体" w:hAnsi="黑体" w:eastAsia="黑体" w:cs="黑体"/>
          <w:sz w:val="32"/>
          <w:szCs w:val="32"/>
        </w:rPr>
      </w:pPr>
      <w:r>
        <w:rPr>
          <w:rFonts w:hint="eastAsia" w:ascii="黑体" w:hAnsi="黑体" w:eastAsia="黑体" w:cs="黑体"/>
          <w:sz w:val="32"/>
          <w:szCs w:val="32"/>
        </w:rPr>
        <w:br w:type="page"/>
      </w:r>
    </w:p>
    <w:p>
      <w:pPr>
        <w:spacing w:before="156" w:beforeLines="50" w:after="156" w:afterLines="50" w:line="440" w:lineRule="exact"/>
        <w:jc w:val="left"/>
        <w:outlineLvl w:val="3"/>
        <w:rPr>
          <w:rFonts w:ascii="仿宋_GB2312"/>
          <w:color w:val="000000" w:themeColor="text1"/>
          <w:sz w:val="30"/>
          <w14:textFill>
            <w14:solidFill>
              <w14:schemeClr w14:val="tx1"/>
            </w14:solidFill>
          </w14:textFill>
        </w:rPr>
      </w:pPr>
      <w:r>
        <w:rPr>
          <w:rFonts w:hint="eastAsia" w:ascii="仿宋_GB2312"/>
          <w:color w:val="000000" w:themeColor="text1"/>
          <w:sz w:val="30"/>
          <w14:textFill>
            <w14:solidFill>
              <w14:schemeClr w14:val="tx1"/>
            </w14:solidFill>
          </w14:textFill>
        </w:rPr>
        <w:t>附件14</w:t>
      </w:r>
      <w:r>
        <w:rPr>
          <w:rFonts w:hint="eastAsia" w:ascii="仿宋_GB2312" w:eastAsia="仿宋_GB2312"/>
          <w:color w:val="000000" w:themeColor="text1"/>
          <w:sz w:val="30"/>
          <w:szCs w:val="30"/>
          <w14:textFill>
            <w14:solidFill>
              <w14:schemeClr w14:val="tx1"/>
            </w14:solidFill>
          </w14:textFill>
        </w:rPr>
        <w:t>：</w:t>
      </w:r>
    </w:p>
    <w:p>
      <w:pPr>
        <w:spacing w:before="156" w:beforeLines="50" w:after="156" w:afterLines="50" w:line="440" w:lineRule="exact"/>
        <w:jc w:val="center"/>
        <w:rPr>
          <w:rFonts w:eastAsia="黑体"/>
          <w:color w:val="000000" w:themeColor="text1"/>
          <w:sz w:val="32"/>
          <w:szCs w:val="32"/>
          <w14:textFill>
            <w14:solidFill>
              <w14:schemeClr w14:val="tx1"/>
            </w14:solidFill>
          </w14:textFill>
        </w:rPr>
      </w:pPr>
      <w:r>
        <w:rPr>
          <w:rFonts w:hint="eastAsia" w:eastAsia="黑体"/>
          <w:color w:val="000000" w:themeColor="text1"/>
          <w:sz w:val="32"/>
          <w:szCs w:val="32"/>
          <w14:textFill>
            <w14:solidFill>
              <w14:schemeClr w14:val="tx1"/>
            </w14:solidFill>
          </w14:textFill>
        </w:rPr>
        <w:t>保密协议</w:t>
      </w:r>
    </w:p>
    <w:p>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本协议由以下双方于</w:t>
      </w:r>
      <w:r>
        <w:rPr>
          <w:rFonts w:hint="eastAsia" w:ascii="仿宋_GB2312" w:eastAsia="仿宋_GB2312" w:hAnsiTheme="minorEastAsia" w:cstheme="minorEastAsia"/>
          <w:sz w:val="30"/>
          <w:szCs w:val="30"/>
          <w:u w:val="single"/>
        </w:rPr>
        <w:t>山东省济南市</w:t>
      </w:r>
      <w:r>
        <w:rPr>
          <w:rFonts w:hint="eastAsia" w:ascii="仿宋_GB2312" w:eastAsia="仿宋_GB2312" w:hAnsiTheme="minorEastAsia" w:cstheme="minorEastAsia"/>
          <w:sz w:val="30"/>
          <w:szCs w:val="30"/>
        </w:rPr>
        <w:t>共同签署：</w:t>
      </w: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甲方：重汽（济南）车桥有限公司</w:t>
      </w: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公司住所：济南市高新区孙村镇西顿邱一、二、三村、许家村</w:t>
      </w: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法定代表人：刘鹏</w:t>
      </w:r>
    </w:p>
    <w:p>
      <w:pPr>
        <w:spacing w:line="360" w:lineRule="auto"/>
        <w:rPr>
          <w:rFonts w:ascii="仿宋_GB2312" w:hAnsi="宋体" w:eastAsia="仿宋_GB2312" w:cs="宋体"/>
          <w:sz w:val="30"/>
          <w:szCs w:val="30"/>
        </w:rPr>
      </w:pP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 xml:space="preserve">乙方： </w:t>
      </w:r>
      <w:r>
        <w:rPr>
          <w:rFonts w:ascii="仿宋_GB2312" w:hAnsi="宋体" w:eastAsia="仿宋_GB2312" w:cs="宋体"/>
          <w:sz w:val="30"/>
          <w:szCs w:val="30"/>
        </w:rPr>
        <w:t xml:space="preserve">          </w:t>
      </w:r>
      <w:r>
        <w:rPr>
          <w:rFonts w:hint="eastAsia" w:ascii="仿宋_GB2312" w:hAnsi="宋体" w:eastAsia="仿宋_GB2312" w:cs="宋体"/>
          <w:sz w:val="30"/>
          <w:szCs w:val="30"/>
        </w:rPr>
        <w:t xml:space="preserve"> </w:t>
      </w: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 xml:space="preserve">公司住所： </w:t>
      </w:r>
      <w:r>
        <w:rPr>
          <w:rFonts w:ascii="仿宋_GB2312" w:hAnsi="宋体" w:eastAsia="仿宋_GB2312" w:cs="宋体"/>
          <w:sz w:val="30"/>
          <w:szCs w:val="30"/>
        </w:rPr>
        <w:t xml:space="preserve">         </w:t>
      </w:r>
    </w:p>
    <w:p>
      <w:pPr>
        <w:spacing w:line="360" w:lineRule="auto"/>
        <w:rPr>
          <w:rFonts w:ascii="仿宋_GB2312" w:hAnsi="宋体" w:eastAsia="仿宋_GB2312" w:cs="宋体"/>
          <w:sz w:val="30"/>
          <w:szCs w:val="30"/>
        </w:rPr>
      </w:pPr>
      <w:r>
        <w:rPr>
          <w:rFonts w:hint="eastAsia" w:ascii="仿宋_GB2312" w:hAnsi="宋体" w:eastAsia="仿宋_GB2312" w:cs="宋体"/>
          <w:sz w:val="30"/>
          <w:szCs w:val="30"/>
        </w:rPr>
        <w:t xml:space="preserve">法定代表人： </w:t>
      </w:r>
      <w:r>
        <w:rPr>
          <w:rFonts w:ascii="仿宋_GB2312" w:hAnsi="宋体" w:eastAsia="仿宋_GB2312" w:cs="宋体"/>
          <w:sz w:val="30"/>
          <w:szCs w:val="30"/>
        </w:rPr>
        <w:t xml:space="preserve">          </w:t>
      </w:r>
    </w:p>
    <w:p>
      <w:pPr>
        <w:spacing w:line="360" w:lineRule="auto"/>
        <w:rPr>
          <w:rFonts w:ascii="仿宋_GB2312" w:hAnsi="宋体" w:eastAsia="仿宋_GB2312" w:cs="宋体"/>
          <w:sz w:val="30"/>
          <w:szCs w:val="30"/>
          <w:lang w:val="en-GB"/>
        </w:rPr>
      </w:pP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甲乙双方需开展</w:t>
      </w:r>
      <w:r>
        <w:rPr>
          <w:rFonts w:hint="eastAsia" w:ascii="仿宋_GB2312" w:eastAsia="仿宋_GB2312" w:hAnsiTheme="minorEastAsia" w:cstheme="minorEastAsia"/>
          <w:sz w:val="30"/>
          <w:szCs w:val="30"/>
          <w:u w:val="single"/>
        </w:rPr>
        <w:t>济南橡塑件公司新能源高压线束车间改造技改项目工程施工</w:t>
      </w:r>
      <w:r>
        <w:rPr>
          <w:rFonts w:hint="eastAsia" w:ascii="仿宋_GB2312" w:eastAsia="仿宋_GB2312" w:hAnsiTheme="minorEastAsia" w:cstheme="minorEastAsia"/>
          <w:sz w:val="30"/>
          <w:szCs w:val="30"/>
        </w:rPr>
        <w:t>项目合作。出于该合作目的，甲方已经或将要向乙方提供有关项目的保密信息。经平等协商，双方自愿签订协议如下：</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第一条 定义</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1、“保密信息”指甲方现在或将来向乙方提供的</w:t>
      </w:r>
      <w:r>
        <w:rPr>
          <w:rFonts w:hint="eastAsia" w:ascii="仿宋_GB2312" w:eastAsia="仿宋_GB2312" w:hAnsiTheme="minorEastAsia" w:cstheme="minorEastAsia"/>
          <w:sz w:val="30"/>
          <w:szCs w:val="30"/>
          <w:lang w:val="en-GB"/>
        </w:rPr>
        <w:t>与本协议有关的任何信息和数据，包括但不限于任何类型的</w:t>
      </w:r>
      <w:r>
        <w:rPr>
          <w:rFonts w:hint="eastAsia" w:ascii="仿宋_GB2312" w:eastAsia="仿宋_GB2312" w:hAnsiTheme="minorEastAsia" w:cstheme="minorEastAsia"/>
          <w:sz w:val="30"/>
          <w:szCs w:val="30"/>
        </w:rPr>
        <w:t>经营信息、技术信息</w:t>
      </w:r>
      <w:r>
        <w:rPr>
          <w:rFonts w:hint="eastAsia" w:ascii="仿宋_GB2312" w:eastAsia="仿宋_GB2312" w:hAnsiTheme="minorEastAsia" w:cstheme="minorEastAsia"/>
          <w:sz w:val="30"/>
          <w:szCs w:val="30"/>
          <w:lang w:val="en-GB"/>
        </w:rPr>
        <w:t>、</w:t>
      </w:r>
      <w:r>
        <w:rPr>
          <w:rFonts w:hint="eastAsia" w:ascii="仿宋_GB2312" w:eastAsia="仿宋_GB2312" w:hAnsiTheme="minorEastAsia" w:cstheme="minorEastAsia"/>
          <w:sz w:val="30"/>
          <w:szCs w:val="30"/>
        </w:rPr>
        <w:t>商务信息、人力资源管理信息及财务信息等，无论该等信息以何种形式提供，如纸质文件、录音、录像、照片、磁（光）盘、数据电文（包括电传、电报、传真、电子数据交换、电子邮件、电子文档）或其他，也无论该信息是以口头还是书面方式、是否标识为保密、也无论该等信息储存于何种载体（包括电子信息）。</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2、信息提供方：甲方</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3、信息接受方：乙方</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4、第三方：指本协议双方之外的任何第三方。</w:t>
      </w:r>
    </w:p>
    <w:p>
      <w:pPr>
        <w:spacing w:line="360" w:lineRule="auto"/>
        <w:ind w:firstLine="600" w:firstLineChars="200"/>
        <w:rPr>
          <w:rFonts w:ascii="仿宋_GB2312" w:eastAsia="仿宋_GB2312" w:hAnsiTheme="minorEastAsia" w:cstheme="minorEastAsia"/>
          <w:sz w:val="30"/>
          <w:szCs w:val="30"/>
        </w:rPr>
      </w:pPr>
      <w:r>
        <w:rPr>
          <w:rFonts w:hint="eastAsia" w:ascii="仿宋_GB2312" w:hAnsi="宋体" w:eastAsia="仿宋_GB2312" w:cs="宋体"/>
          <w:sz w:val="30"/>
          <w:szCs w:val="30"/>
        </w:rPr>
        <w:t>5、</w:t>
      </w:r>
      <w:r>
        <w:rPr>
          <w:rFonts w:hint="eastAsia" w:ascii="仿宋_GB2312" w:hAnsi="宋体" w:eastAsia="仿宋_GB2312" w:cs="宋体"/>
          <w:sz w:val="30"/>
          <w:szCs w:val="30"/>
          <w:lang w:val="en-GB"/>
        </w:rPr>
        <w:t>关联</w:t>
      </w:r>
      <w:r>
        <w:rPr>
          <w:rFonts w:hint="eastAsia" w:ascii="仿宋_GB2312" w:hAnsi="宋体" w:eastAsia="仿宋_GB2312" w:cs="宋体"/>
          <w:sz w:val="30"/>
          <w:szCs w:val="30"/>
        </w:rPr>
        <w:t>公司</w:t>
      </w:r>
      <w:r>
        <w:rPr>
          <w:rFonts w:hint="eastAsia" w:ascii="仿宋_GB2312" w:hAnsi="宋体" w:eastAsia="仿宋_GB2312" w:cs="宋体"/>
          <w:sz w:val="30"/>
          <w:szCs w:val="30"/>
          <w:lang w:val="en-GB"/>
        </w:rPr>
        <w:t>：直接或间接控制</w:t>
      </w:r>
      <w:r>
        <w:rPr>
          <w:rFonts w:hint="eastAsia" w:ascii="仿宋_GB2312" w:hAnsi="宋体" w:eastAsia="仿宋_GB2312" w:cs="宋体"/>
          <w:sz w:val="30"/>
          <w:szCs w:val="30"/>
        </w:rPr>
        <w:t>一</w:t>
      </w:r>
      <w:r>
        <w:rPr>
          <w:rFonts w:hint="eastAsia" w:ascii="仿宋_GB2312" w:hAnsi="宋体" w:eastAsia="仿宋_GB2312" w:cs="宋体"/>
          <w:sz w:val="30"/>
          <w:szCs w:val="30"/>
          <w:lang w:val="en-GB"/>
        </w:rPr>
        <w:t>方，或者受控于</w:t>
      </w:r>
      <w:r>
        <w:rPr>
          <w:rFonts w:hint="eastAsia" w:ascii="仿宋_GB2312" w:hAnsi="宋体" w:eastAsia="仿宋_GB2312" w:cs="宋体"/>
          <w:sz w:val="30"/>
          <w:szCs w:val="30"/>
        </w:rPr>
        <w:t>该</w:t>
      </w:r>
      <w:r>
        <w:rPr>
          <w:rFonts w:hint="eastAsia" w:ascii="仿宋_GB2312" w:hAnsi="宋体" w:eastAsia="仿宋_GB2312" w:cs="宋体"/>
          <w:sz w:val="30"/>
          <w:szCs w:val="30"/>
          <w:lang w:val="en-GB"/>
        </w:rPr>
        <w:t>方，或者与</w:t>
      </w:r>
      <w:r>
        <w:rPr>
          <w:rFonts w:hint="eastAsia" w:ascii="仿宋_GB2312" w:hAnsi="宋体" w:eastAsia="仿宋_GB2312" w:cs="宋体"/>
          <w:sz w:val="30"/>
          <w:szCs w:val="30"/>
        </w:rPr>
        <w:t>该</w:t>
      </w:r>
      <w:r>
        <w:rPr>
          <w:rFonts w:hint="eastAsia" w:ascii="仿宋_GB2312" w:hAnsi="宋体" w:eastAsia="仿宋_GB2312" w:cs="宋体"/>
          <w:sz w:val="30"/>
          <w:szCs w:val="30"/>
          <w:lang w:val="en-GB"/>
        </w:rPr>
        <w:t>方共同处于控制之下的任何</w:t>
      </w:r>
      <w:r>
        <w:rPr>
          <w:rFonts w:hint="eastAsia" w:ascii="仿宋_GB2312" w:eastAsia="仿宋_GB2312" w:hAnsiTheme="minorEastAsia" w:cstheme="minorEastAsia"/>
          <w:sz w:val="30"/>
          <w:szCs w:val="30"/>
        </w:rPr>
        <w:t>第三方。</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第二条 保密信息的提供</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1、本协议所述之保密信息均由协议双方为洽谈合作事项之目的而提供。</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2、保密信息的所有权及知识产权归属于甲方或甲方具有合法来源。</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3、本协议任何条款均不视为将保密信息的所有权和其他权利转让给乙方。</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第三条 保密义务</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1、乙方仅能将甲方提供的保密信息用于本协议所约定的项目并承担保密义务。</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乙方将采取有效措施使用甲方提供的保密信息，只将该等保密信息提供给本方负责决策或实施合作事项的具体参与人员，乙方及其相关人员不得以任何方式或形式散布、披露或传播给该范围以外的人（包括乙方关联机构），也不得允许任何保密信息被泄漏、被披露、被交流。</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如果乙方为项目需要，而不得不向该第三方披露保密信息，则乙方应事先从甲方得到书面同意。乙方应在披露保密信息之前，按照与本协议相同的保护程度与该第三方签署一份保密协议。若上述第三方（包括其股东、高管、雇员）发生泄密，乙方应与该第三方承担连带责任。</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4、如乙方得悉甲方的任何保密信息遭侵犯或疑似侵权，乙方应立即通知甲方。如果甲方决定就侵权行为进行起诉，或以其他方式停止或阻止该实际或可能发生的侵权行为，乙方尽最大限度予以协助。 </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5、乙方不得在世界任何地方就保密信息进行升级、变更和/或改进，亦不得直接或间接提交或促使提交专利或著作权或其它权利的申请，也不得以其名义取得或促使以其他人名义取得任何专利或其它权利注册。</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6、乙方应遵从甲方不时发出的有关使用、处理和保管保密信息的任何指令或政策，并按照甲方的要求将本协议项下保密信息的使用情况向甲方汇报。 </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7、乙方不得为第三方利益使用保密信息，不得非为实现双方合作目的使用保密信息，不得对保密信息采取任何反向工程、反向编译或反向分解等行为。</w:t>
      </w:r>
    </w:p>
    <w:p>
      <w:pPr>
        <w:spacing w:line="360" w:lineRule="auto"/>
        <w:ind w:firstLine="600" w:firstLineChars="200"/>
        <w:rPr>
          <w:rFonts w:ascii="仿宋_GB2312" w:eastAsia="仿宋_GB2312" w:hAnsiTheme="minorEastAsia" w:cstheme="minorEastAsia"/>
          <w:sz w:val="30"/>
          <w:szCs w:val="30"/>
          <w:highlight w:val="yellow"/>
        </w:rPr>
      </w:pPr>
      <w:r>
        <w:rPr>
          <w:rFonts w:hint="eastAsia" w:ascii="仿宋_GB2312" w:eastAsia="仿宋_GB2312" w:hAnsiTheme="minorEastAsia" w:cstheme="minorEastAsia"/>
          <w:sz w:val="30"/>
          <w:szCs w:val="30"/>
        </w:rPr>
        <w:t>8、双方合作期间形成的与本协议有关的任何信息和数据受本协议约束。</w:t>
      </w:r>
    </w:p>
    <w:p>
      <w:pPr>
        <w:tabs>
          <w:tab w:val="left" w:pos="567"/>
        </w:tabs>
        <w:spacing w:line="360" w:lineRule="auto"/>
        <w:ind w:firstLine="600" w:firstLineChars="200"/>
        <w:rPr>
          <w:rFonts w:ascii="仿宋_GB2312" w:hAnsi="宋体" w:eastAsia="仿宋_GB2312" w:cs="宋体"/>
          <w:sz w:val="30"/>
          <w:szCs w:val="30"/>
          <w:lang w:val="en-GB"/>
        </w:rPr>
      </w:pPr>
      <w:r>
        <w:rPr>
          <w:rFonts w:hint="eastAsia" w:ascii="仿宋_GB2312" w:hAnsi="宋体" w:eastAsia="仿宋_GB2312" w:cs="宋体"/>
          <w:sz w:val="30"/>
          <w:szCs w:val="30"/>
          <w:lang w:val="en-GB"/>
        </w:rPr>
        <w:t>在本协议签订后，</w:t>
      </w:r>
      <w:r>
        <w:rPr>
          <w:rFonts w:hint="eastAsia" w:ascii="仿宋_GB2312" w:hAnsi="宋体" w:eastAsia="仿宋_GB2312" w:cs="宋体"/>
          <w:sz w:val="30"/>
          <w:szCs w:val="30"/>
        </w:rPr>
        <w:t>甲方仅将保密信息向乙</w:t>
      </w:r>
      <w:r>
        <w:rPr>
          <w:rFonts w:hint="eastAsia" w:ascii="仿宋_GB2312" w:hAnsi="宋体" w:eastAsia="仿宋_GB2312" w:cs="宋体"/>
          <w:sz w:val="30"/>
          <w:szCs w:val="30"/>
          <w:lang w:val="en-GB"/>
        </w:rPr>
        <w:t>方</w:t>
      </w:r>
      <w:r>
        <w:rPr>
          <w:rFonts w:hint="eastAsia" w:ascii="仿宋_GB2312" w:hAnsi="宋体" w:eastAsia="仿宋_GB2312" w:cs="宋体"/>
          <w:sz w:val="30"/>
          <w:szCs w:val="30"/>
        </w:rPr>
        <w:t>指定联系人：</w:t>
      </w:r>
      <w:r>
        <w:rPr>
          <w:rFonts w:hint="eastAsia" w:ascii="仿宋_GB2312" w:hAnsi="宋体" w:eastAsia="仿宋_GB2312" w:cs="宋体"/>
          <w:sz w:val="30"/>
          <w:szCs w:val="30"/>
          <w:u w:val="single"/>
        </w:rPr>
        <w:t xml:space="preserve"> </w:t>
      </w:r>
      <w:r>
        <w:rPr>
          <w:rFonts w:ascii="仿宋_GB2312" w:hAnsi="宋体" w:eastAsia="仿宋_GB2312" w:cs="宋体"/>
          <w:sz w:val="30"/>
          <w:szCs w:val="30"/>
          <w:u w:val="single"/>
        </w:rPr>
        <w:t xml:space="preserve">    </w:t>
      </w:r>
      <w:r>
        <w:rPr>
          <w:rFonts w:hint="eastAsia" w:ascii="仿宋_GB2312" w:hAnsi="宋体" w:eastAsia="仿宋_GB2312" w:cs="宋体"/>
          <w:sz w:val="30"/>
          <w:szCs w:val="30"/>
          <w:u w:val="single"/>
        </w:rPr>
        <w:t xml:space="preserve"> </w:t>
      </w:r>
      <w:r>
        <w:rPr>
          <w:rFonts w:hint="eastAsia" w:ascii="仿宋_GB2312" w:hAnsi="宋体" w:eastAsia="仿宋_GB2312" w:cs="宋体"/>
          <w:sz w:val="30"/>
          <w:szCs w:val="30"/>
        </w:rPr>
        <w:t>进行披露，如乙方联系人发生变更，应立即书面通知甲方并做出新的授权。</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第四条 保密义务的例外</w:t>
      </w:r>
    </w:p>
    <w:p>
      <w:pPr>
        <w:spacing w:line="360" w:lineRule="auto"/>
        <w:ind w:firstLine="600" w:firstLineChars="200"/>
        <w:rPr>
          <w:rFonts w:ascii="仿宋_GB2312" w:eastAsia="仿宋_GB2312" w:hAnsiTheme="minorEastAsia" w:cstheme="minorEastAsia"/>
          <w:sz w:val="30"/>
          <w:szCs w:val="30"/>
          <w:lang w:val="en-GB"/>
        </w:rPr>
      </w:pPr>
      <w:r>
        <w:rPr>
          <w:rFonts w:hint="eastAsia" w:ascii="仿宋_GB2312" w:eastAsia="仿宋_GB2312" w:hAnsiTheme="minorEastAsia" w:cstheme="minorEastAsia"/>
          <w:sz w:val="30"/>
          <w:szCs w:val="30"/>
        </w:rPr>
        <w:t>1、</w:t>
      </w:r>
      <w:r>
        <w:rPr>
          <w:rFonts w:hint="eastAsia" w:ascii="仿宋_GB2312" w:eastAsia="仿宋_GB2312" w:hAnsiTheme="minorEastAsia" w:cstheme="minorEastAsia"/>
          <w:sz w:val="30"/>
          <w:szCs w:val="30"/>
          <w:lang w:val="en-GB"/>
        </w:rPr>
        <w:t>根据有关法律或有管辖权的法院、仲裁机构、交易所或政府机构</w:t>
      </w:r>
      <w:r>
        <w:rPr>
          <w:rFonts w:hint="eastAsia" w:ascii="仿宋_GB2312" w:eastAsia="仿宋_GB2312" w:hAnsiTheme="minorEastAsia" w:cstheme="minorEastAsia"/>
          <w:sz w:val="30"/>
          <w:szCs w:val="30"/>
        </w:rPr>
        <w:t>的</w:t>
      </w:r>
      <w:r>
        <w:rPr>
          <w:rFonts w:hint="eastAsia" w:ascii="仿宋_GB2312" w:eastAsia="仿宋_GB2312" w:hAnsiTheme="minorEastAsia" w:cstheme="minorEastAsia"/>
          <w:sz w:val="30"/>
          <w:szCs w:val="30"/>
          <w:lang w:val="en-GB"/>
        </w:rPr>
        <w:t>要求而披露保密信息。</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2、事先取得甲方书面同意而公开的信息。</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披露该等保密信息之前，乙方应当立即通知甲方，并提供有关该等命令的通知，协同甲方采取有效措施防范风险。</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第五条 保密信息的返还</w:t>
      </w:r>
    </w:p>
    <w:p>
      <w:pPr>
        <w:tabs>
          <w:tab w:val="left" w:pos="990"/>
        </w:tabs>
        <w:spacing w:line="360" w:lineRule="auto"/>
        <w:ind w:firstLine="600" w:firstLineChars="200"/>
        <w:rPr>
          <w:rFonts w:ascii="仿宋_GB2312" w:hAnsi="宋体" w:eastAsia="仿宋_GB2312" w:cs="宋体"/>
          <w:sz w:val="30"/>
          <w:szCs w:val="30"/>
        </w:rPr>
      </w:pPr>
      <w:r>
        <w:rPr>
          <w:rFonts w:hint="eastAsia" w:ascii="仿宋_GB2312" w:eastAsia="仿宋_GB2312" w:hAnsiTheme="minorEastAsia" w:cstheme="minorEastAsia"/>
          <w:sz w:val="30"/>
          <w:szCs w:val="30"/>
        </w:rPr>
        <w:t>根据</w:t>
      </w:r>
      <w:r>
        <w:rPr>
          <w:rFonts w:hint="eastAsia" w:ascii="仿宋_GB2312" w:hAnsi="宋体" w:eastAsia="仿宋_GB2312" w:cs="宋体"/>
          <w:sz w:val="30"/>
          <w:szCs w:val="30"/>
        </w:rPr>
        <w:t>甲方要求或乙方违约时</w:t>
      </w:r>
      <w:r>
        <w:rPr>
          <w:rFonts w:hint="eastAsia" w:ascii="仿宋_GB2312" w:hAnsi="宋体" w:eastAsia="仿宋_GB2312" w:cs="宋体"/>
          <w:sz w:val="30"/>
          <w:szCs w:val="30"/>
          <w:lang w:val="en-GB"/>
        </w:rPr>
        <w:t>，</w:t>
      </w:r>
      <w:r>
        <w:rPr>
          <w:rFonts w:hint="eastAsia" w:ascii="仿宋_GB2312" w:hAnsi="宋体" w:eastAsia="仿宋_GB2312" w:cs="宋体"/>
          <w:sz w:val="30"/>
          <w:szCs w:val="30"/>
        </w:rPr>
        <w:t>乙方应</w:t>
      </w:r>
      <w:r>
        <w:rPr>
          <w:rFonts w:hint="eastAsia" w:ascii="仿宋_GB2312" w:hAnsi="宋体" w:eastAsia="仿宋_GB2312" w:cs="宋体"/>
          <w:sz w:val="30"/>
          <w:szCs w:val="30"/>
          <w:lang w:val="en-GB"/>
        </w:rPr>
        <w:t>立即</w:t>
      </w:r>
      <w:r>
        <w:rPr>
          <w:rFonts w:hint="eastAsia" w:ascii="仿宋_GB2312" w:hAnsi="宋体" w:eastAsia="仿宋_GB2312" w:cs="宋体"/>
          <w:sz w:val="30"/>
          <w:szCs w:val="30"/>
        </w:rPr>
        <w:t>在甲方要求的时间内</w:t>
      </w:r>
      <w:r>
        <w:rPr>
          <w:rFonts w:hint="eastAsia" w:ascii="仿宋_GB2312" w:hAnsi="宋体" w:eastAsia="仿宋_GB2312" w:cs="宋体"/>
          <w:sz w:val="30"/>
          <w:szCs w:val="30"/>
          <w:lang w:val="en-GB"/>
        </w:rPr>
        <w:t>向甲方返还所有保密信息并不得保存副本，</w:t>
      </w:r>
      <w:r>
        <w:rPr>
          <w:rFonts w:hint="eastAsia" w:ascii="仿宋_GB2312" w:hAnsi="宋体" w:eastAsia="仿宋_GB2312" w:cs="宋体"/>
          <w:sz w:val="30"/>
          <w:szCs w:val="30"/>
        </w:rPr>
        <w:t>包括但不限于储存于</w:t>
      </w:r>
      <w:r>
        <w:rPr>
          <w:rFonts w:hint="eastAsia" w:ascii="仿宋_GB2312" w:hAnsi="宋体" w:eastAsia="仿宋_GB2312" w:cs="宋体"/>
          <w:sz w:val="30"/>
          <w:szCs w:val="30"/>
          <w:lang w:val="en-GB"/>
        </w:rPr>
        <w:t>计算机磁盘、CD-ROM驱动、CD-ROM、硬盘、软件或任何纸质媒介的材料</w:t>
      </w:r>
      <w:r>
        <w:rPr>
          <w:rFonts w:hint="eastAsia" w:ascii="仿宋_GB2312" w:hAnsi="宋体" w:eastAsia="仿宋_GB2312" w:cs="宋体"/>
          <w:sz w:val="30"/>
          <w:szCs w:val="30"/>
        </w:rPr>
        <w:t>及其</w:t>
      </w:r>
      <w:r>
        <w:rPr>
          <w:rFonts w:hint="eastAsia" w:ascii="仿宋_GB2312" w:hAnsi="宋体" w:eastAsia="仿宋_GB2312" w:cs="宋体"/>
          <w:sz w:val="30"/>
          <w:szCs w:val="30"/>
          <w:lang w:val="en-GB"/>
        </w:rPr>
        <w:t>备份。</w:t>
      </w:r>
      <w:r>
        <w:rPr>
          <w:rFonts w:hint="eastAsia" w:ascii="仿宋_GB2312" w:hAnsi="宋体" w:eastAsia="仿宋_GB2312" w:cs="宋体"/>
          <w:sz w:val="30"/>
          <w:szCs w:val="30"/>
        </w:rPr>
        <w:t>因</w:t>
      </w:r>
      <w:r>
        <w:rPr>
          <w:rFonts w:hint="eastAsia" w:ascii="仿宋_GB2312" w:hAnsi="宋体" w:eastAsia="仿宋_GB2312" w:cs="宋体"/>
          <w:sz w:val="30"/>
          <w:szCs w:val="30"/>
          <w:lang w:val="en-GB"/>
        </w:rPr>
        <w:t>保密信息载体及保密信息介质的特性导致客观上无法返还甲方的，乙方应当于甲方要求的时间内将载有保密信息的载体或介质销毁，或对其进行处理使其不具有保密信息保存和传递功能，以达到乙方不保存任何保密信息的目的，</w:t>
      </w:r>
      <w:r>
        <w:rPr>
          <w:rFonts w:hint="eastAsia" w:ascii="仿宋_GB2312" w:hAnsi="宋体" w:eastAsia="仿宋_GB2312" w:cs="宋体"/>
          <w:sz w:val="30"/>
          <w:szCs w:val="30"/>
        </w:rPr>
        <w:t>同时乙方应</w:t>
      </w:r>
      <w:r>
        <w:rPr>
          <w:rFonts w:hint="eastAsia" w:ascii="仿宋_GB2312" w:hAnsi="宋体" w:eastAsia="仿宋_GB2312" w:cs="宋体"/>
          <w:sz w:val="30"/>
          <w:szCs w:val="30"/>
          <w:lang w:val="en-GB"/>
        </w:rPr>
        <w:t>向</w:t>
      </w:r>
      <w:r>
        <w:rPr>
          <w:rFonts w:hint="eastAsia" w:ascii="仿宋_GB2312" w:hAnsi="宋体" w:eastAsia="仿宋_GB2312" w:cs="宋体"/>
          <w:sz w:val="30"/>
          <w:szCs w:val="30"/>
        </w:rPr>
        <w:t>甲</w:t>
      </w:r>
      <w:r>
        <w:rPr>
          <w:rFonts w:hint="eastAsia" w:ascii="仿宋_GB2312" w:hAnsi="宋体" w:eastAsia="仿宋_GB2312" w:cs="宋体"/>
          <w:sz w:val="30"/>
          <w:szCs w:val="30"/>
          <w:lang w:val="en-GB"/>
        </w:rPr>
        <w:t>方出具已经归还或销毁</w:t>
      </w:r>
      <w:r>
        <w:rPr>
          <w:rFonts w:hint="eastAsia" w:ascii="仿宋_GB2312" w:hAnsi="宋体" w:eastAsia="仿宋_GB2312" w:cs="宋体"/>
          <w:sz w:val="30"/>
          <w:szCs w:val="30"/>
        </w:rPr>
        <w:t>全部</w:t>
      </w:r>
      <w:r>
        <w:rPr>
          <w:rFonts w:hint="eastAsia" w:ascii="仿宋_GB2312" w:hAnsi="宋体" w:eastAsia="仿宋_GB2312" w:cs="宋体"/>
          <w:sz w:val="30"/>
          <w:szCs w:val="30"/>
          <w:lang w:val="en-GB"/>
        </w:rPr>
        <w:t>材料的书面</w:t>
      </w:r>
      <w:r>
        <w:rPr>
          <w:rFonts w:hint="eastAsia" w:ascii="仿宋_GB2312" w:hAnsi="宋体" w:eastAsia="仿宋_GB2312" w:cs="宋体"/>
          <w:sz w:val="30"/>
          <w:szCs w:val="30"/>
        </w:rPr>
        <w:t>承诺。</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第六条 保密期限</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除本协议双方另有约定外，本协议的保密期限自甲方提供保密信息之日起至本协议所述保密信息向公众披露或为公众所知悉之日止。</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第七条 违约责任</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1、如乙方违反本协议约定，应立即停止使用保密信息。如果乙方董事、监事 、高级管理人员、员工、股东、关联机构、代理、顾问、参与项目谈判的人员以及其他利益相关人的行为与本协议相违背，均视为乙方违反本协议。 </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2、双方确认，基于保密信息的性质，乙方任何违反本协议的行为将对甲方造成不可弥补的损害，乙方（包括乙方董事、监事 、高级管理人员、员工、股东、关联机构、代理、顾问、参与项目谈判的人员以及其他利益相关人），应当对于因违反本协议而给甲方及甲方关联公司造成的全部损失承担赔偿责任及可期待的商业利益损失。</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3、在各种情况下，双方一致认为甲方的损失均应被视为最少不低于</w:t>
      </w:r>
      <w:r>
        <w:rPr>
          <w:rFonts w:hint="eastAsia" w:ascii="仿宋_GB2312" w:eastAsia="仿宋_GB2312" w:hAnsiTheme="minorEastAsia" w:cstheme="minorEastAsia"/>
          <w:sz w:val="30"/>
          <w:szCs w:val="30"/>
          <w:u w:val="single"/>
        </w:rPr>
        <w:t xml:space="preserve"> </w:t>
      </w:r>
      <w:r>
        <w:rPr>
          <w:rFonts w:ascii="仿宋_GB2312" w:eastAsia="仿宋_GB2312" w:hAnsiTheme="minorEastAsia" w:cstheme="minorEastAsia"/>
          <w:sz w:val="30"/>
          <w:szCs w:val="30"/>
          <w:u w:val="single"/>
        </w:rPr>
        <w:t xml:space="preserve">1 </w:t>
      </w:r>
      <w:r>
        <w:rPr>
          <w:rFonts w:hint="eastAsia" w:ascii="仿宋_GB2312" w:eastAsia="仿宋_GB2312" w:hAnsiTheme="minorEastAsia" w:cstheme="minorEastAsia"/>
          <w:sz w:val="30"/>
          <w:szCs w:val="30"/>
        </w:rPr>
        <w:t xml:space="preserve">万元。 </w:t>
      </w:r>
    </w:p>
    <w:p>
      <w:pPr>
        <w:spacing w:line="360" w:lineRule="auto"/>
        <w:ind w:firstLine="600" w:firstLineChars="200"/>
        <w:rPr>
          <w:rFonts w:ascii="仿宋_GB2312" w:eastAsia="仿宋_GB2312"/>
          <w:sz w:val="30"/>
          <w:szCs w:val="30"/>
        </w:rPr>
      </w:pPr>
      <w:r>
        <w:rPr>
          <w:rFonts w:hint="eastAsia" w:ascii="仿宋_GB2312" w:eastAsia="仿宋_GB2312" w:hAnsiTheme="minorEastAsia" w:cstheme="minorEastAsia"/>
          <w:sz w:val="30"/>
          <w:szCs w:val="30"/>
        </w:rPr>
        <w:t>4、</w:t>
      </w:r>
      <w:r>
        <w:rPr>
          <w:rFonts w:hint="eastAsia" w:ascii="仿宋_GB2312" w:eastAsia="仿宋_GB2312"/>
          <w:sz w:val="30"/>
          <w:szCs w:val="30"/>
        </w:rPr>
        <w:t xml:space="preserve">如乙方违反第三条第5项的约定提交了申请或取得专利或著作权或其他权利注册，则乙方除应按本协议的约定承担违约责任外，还应根据甲方要求，毫不延迟地将该等申请、注册的权利无偿转让给甲方。该等转让或变更涉及所有费用由乙方承担。 </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第八条 适用法律及争议的解决</w:t>
      </w:r>
    </w:p>
    <w:p>
      <w:pPr>
        <w:tabs>
          <w:tab w:val="left" w:pos="567"/>
        </w:tabs>
        <w:spacing w:line="360" w:lineRule="auto"/>
        <w:ind w:firstLine="600" w:firstLineChars="200"/>
        <w:rPr>
          <w:rFonts w:ascii="仿宋_GB2312" w:hAnsi="宋体" w:eastAsia="仿宋_GB2312" w:cs="宋体"/>
          <w:sz w:val="30"/>
          <w:szCs w:val="30"/>
          <w:lang w:val="en-GB"/>
        </w:rPr>
      </w:pPr>
      <w:r>
        <w:rPr>
          <w:rFonts w:hint="eastAsia" w:ascii="仿宋_GB2312" w:hAnsi="宋体" w:eastAsia="仿宋_GB2312" w:cs="宋体"/>
          <w:sz w:val="30"/>
          <w:szCs w:val="30"/>
          <w:lang w:val="en-GB"/>
        </w:rPr>
        <w:t>本协议受中国现行</w:t>
      </w:r>
      <w:r>
        <w:rPr>
          <w:rFonts w:hint="eastAsia" w:ascii="仿宋_GB2312" w:hAnsi="宋体" w:eastAsia="仿宋_GB2312" w:cs="宋体"/>
          <w:sz w:val="30"/>
          <w:szCs w:val="30"/>
        </w:rPr>
        <w:t>有效的法律</w:t>
      </w:r>
      <w:r>
        <w:rPr>
          <w:rFonts w:hint="eastAsia" w:ascii="仿宋_GB2312" w:hAnsi="宋体" w:eastAsia="仿宋_GB2312" w:cs="宋体"/>
          <w:sz w:val="30"/>
          <w:szCs w:val="30"/>
          <w:lang w:val="en-GB"/>
        </w:rPr>
        <w:t>管辖，因本协议引起的或与本协议有关的任何争议，应由双方先行协商解决，协商不成的，由甲方所在地法院诉讼解决。</w:t>
      </w:r>
    </w:p>
    <w:p>
      <w:pPr>
        <w:spacing w:line="360" w:lineRule="auto"/>
        <w:ind w:firstLine="600" w:firstLineChars="200"/>
        <w:rPr>
          <w:rFonts w:ascii="黑体" w:hAnsi="黑体" w:eastAsia="黑体" w:cstheme="minorEastAsia"/>
          <w:bCs/>
          <w:sz w:val="30"/>
          <w:szCs w:val="30"/>
        </w:rPr>
      </w:pPr>
      <w:r>
        <w:rPr>
          <w:rFonts w:hint="eastAsia" w:ascii="黑体" w:hAnsi="黑体" w:eastAsia="黑体" w:cstheme="minorEastAsia"/>
          <w:bCs/>
          <w:sz w:val="30"/>
          <w:szCs w:val="30"/>
        </w:rPr>
        <w:t xml:space="preserve">第九条 继续有效 </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如果本协议有任何条款或部分因任何原因被判定为无效或不可执行，本协议其他条款不应受到影响，在法律允许的范围内继续具有完全效力。</w:t>
      </w:r>
    </w:p>
    <w:p>
      <w:pPr>
        <w:spacing w:line="360" w:lineRule="auto"/>
        <w:ind w:firstLine="600" w:firstLineChars="200"/>
        <w:rPr>
          <w:rFonts w:ascii="仿宋_GB2312" w:eastAsia="仿宋_GB2312" w:hAnsiTheme="minorEastAsia" w:cstheme="minorEastAsia"/>
          <w:sz w:val="30"/>
          <w:szCs w:val="30"/>
        </w:rPr>
      </w:pPr>
      <w:r>
        <w:rPr>
          <w:rFonts w:hint="eastAsia" w:ascii="黑体" w:hAnsi="黑体" w:eastAsia="黑体" w:cstheme="minorEastAsia"/>
          <w:bCs/>
          <w:sz w:val="30"/>
          <w:szCs w:val="30"/>
        </w:rPr>
        <w:t>第十条 协议生效</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1、协议双方同意，本协议于双方签署之日起生效。但是如果本协议签订前存在甲方向乙方提供保密信息的，也适用本协议。</w:t>
      </w:r>
      <w:r>
        <w:rPr>
          <w:rFonts w:ascii="仿宋_GB2312" w:eastAsia="仿宋_GB2312" w:hAnsiTheme="minorEastAsia" w:cstheme="minorEastAsia"/>
          <w:sz w:val="30"/>
          <w:szCs w:val="30"/>
        </w:rPr>
        <w:t xml:space="preserve"> </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2、协议双方对本协议内容的修改或补充，应采用书面形式订立补充协议，补充协议经双方签署生效，成为本协议的有效组成部份、与本协议具有同等法律效力。</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3、本协议正本一式三份，甲方执两份，乙方执一份，具有同等法律效力。</w:t>
      </w:r>
    </w:p>
    <w:p>
      <w:pPr>
        <w:spacing w:line="360" w:lineRule="auto"/>
        <w:ind w:firstLine="600" w:firstLineChars="200"/>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兹此，双方已促使本协议由各自正式授权代表签署或加盖双方公章或合同专用章。</w:t>
      </w:r>
    </w:p>
    <w:p>
      <w:pPr>
        <w:spacing w:line="360" w:lineRule="auto"/>
        <w:ind w:firstLine="600" w:firstLineChars="200"/>
        <w:rPr>
          <w:rFonts w:ascii="仿宋_GB2312" w:eastAsia="仿宋_GB2312" w:hAnsiTheme="minorEastAsia" w:cstheme="minorEastAsia"/>
          <w:sz w:val="30"/>
          <w:szCs w:val="30"/>
        </w:rPr>
      </w:pPr>
    </w:p>
    <w:p>
      <w:pPr>
        <w:ind w:firstLine="602" w:firstLineChars="200"/>
        <w:rPr>
          <w:rFonts w:ascii="宋体" w:hAnsi="宋体" w:cs="宋体"/>
          <w:b/>
          <w:sz w:val="30"/>
          <w:szCs w:val="30"/>
        </w:rPr>
      </w:pPr>
      <w:r>
        <w:rPr>
          <w:rFonts w:hint="eastAsia" w:ascii="宋体" w:hAnsi="宋体" w:cs="宋体"/>
          <w:b/>
          <w:sz w:val="30"/>
          <w:szCs w:val="30"/>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一方擅自增加、删改、篡改部分无效（个人手写签名除外）。</w:t>
      </w:r>
    </w:p>
    <w:p>
      <w:pPr>
        <w:ind w:firstLine="602" w:firstLineChars="200"/>
        <w:rPr>
          <w:rFonts w:ascii="宋体" w:hAnsi="宋体" w:cs="宋体"/>
          <w:b/>
          <w:sz w:val="30"/>
          <w:szCs w:val="30"/>
        </w:rPr>
      </w:pPr>
      <w:r>
        <w:rPr>
          <w:rFonts w:hint="eastAsia" w:ascii="宋体" w:hAnsi="宋体" w:cs="宋体"/>
          <w:b/>
          <w:sz w:val="30"/>
          <w:szCs w:val="30"/>
        </w:rPr>
        <w:t>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各方已签署完毕。</w:t>
      </w:r>
    </w:p>
    <w:p>
      <w:pPr>
        <w:spacing w:line="360" w:lineRule="auto"/>
        <w:ind w:firstLine="600" w:firstLineChars="200"/>
        <w:rPr>
          <w:rFonts w:ascii="仿宋_GB2312" w:eastAsia="仿宋_GB2312" w:hAnsiTheme="minorEastAsia" w:cstheme="minorEastAsia"/>
          <w:sz w:val="30"/>
          <w:szCs w:val="30"/>
        </w:rPr>
      </w:pPr>
    </w:p>
    <w:p>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甲方：重汽（济南）车桥有限公司（盖章）</w:t>
      </w:r>
    </w:p>
    <w:p>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法定代表人或授权代表：</w:t>
      </w:r>
      <w:r>
        <w:rPr>
          <w:rFonts w:hint="eastAsia"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（签字）</w:t>
      </w:r>
    </w:p>
    <w:p>
      <w:pPr>
        <w:spacing w:line="360" w:lineRule="auto"/>
        <w:rPr>
          <w:rFonts w:ascii="仿宋_GB2312" w:eastAsia="仿宋_GB2312" w:hAnsiTheme="minorEastAsia" w:cstheme="minorEastAsia"/>
          <w:sz w:val="30"/>
          <w:szCs w:val="30"/>
        </w:rPr>
      </w:pPr>
    </w:p>
    <w:p>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 xml:space="preserve">乙方： </w:t>
      </w:r>
    </w:p>
    <w:p>
      <w:pPr>
        <w:spacing w:line="360" w:lineRule="auto"/>
        <w:rPr>
          <w:rFonts w:ascii="仿宋_GB2312" w:eastAsia="仿宋_GB2312" w:hAnsiTheme="minorEastAsia" w:cstheme="minorEastAsia"/>
          <w:sz w:val="30"/>
          <w:szCs w:val="30"/>
        </w:rPr>
      </w:pPr>
      <w:r>
        <w:rPr>
          <w:rFonts w:hint="eastAsia" w:ascii="仿宋_GB2312" w:eastAsia="仿宋_GB2312" w:hAnsiTheme="minorEastAsia" w:cstheme="minorEastAsia"/>
          <w:sz w:val="30"/>
          <w:szCs w:val="30"/>
        </w:rPr>
        <w:t>法定代表人或授权代表：</w:t>
      </w:r>
      <w:r>
        <w:rPr>
          <w:rFonts w:hint="eastAsia" w:ascii="仿宋_GB2312" w:eastAsia="仿宋_GB2312" w:hAnsiTheme="minorEastAsia" w:cstheme="minorEastAsia"/>
          <w:sz w:val="30"/>
          <w:szCs w:val="30"/>
          <w:u w:val="single"/>
        </w:rPr>
        <w:t xml:space="preserve">                </w:t>
      </w:r>
      <w:r>
        <w:rPr>
          <w:rFonts w:hint="eastAsia" w:ascii="仿宋_GB2312" w:eastAsia="仿宋_GB2312" w:hAnsiTheme="minorEastAsia" w:cstheme="minorEastAsia"/>
          <w:sz w:val="30"/>
          <w:szCs w:val="30"/>
        </w:rPr>
        <w:t>（签字）</w:t>
      </w:r>
    </w:p>
    <w:p>
      <w:pPr>
        <w:rPr>
          <w:rFonts w:ascii="仿宋" w:hAnsi="仿宋" w:eastAsia="仿宋" w:cs="仿宋"/>
          <w:color w:val="000000" w:themeColor="text1"/>
          <w:sz w:val="32"/>
          <w:szCs w:val="32"/>
          <w14:textFill>
            <w14:solidFill>
              <w14:schemeClr w14:val="tx1"/>
            </w14:solidFill>
          </w14:textFill>
        </w:rPr>
      </w:pPr>
    </w:p>
    <w:p>
      <w:pPr>
        <w:rPr>
          <w:rFonts w:ascii="仿宋" w:hAnsi="仿宋" w:eastAsia="仿宋" w:cs="仿宋"/>
          <w:color w:val="000000" w:themeColor="text1"/>
          <w:sz w:val="32"/>
          <w:szCs w:val="32"/>
          <w14:textFill>
            <w14:solidFill>
              <w14:schemeClr w14:val="tx1"/>
            </w14:solidFill>
          </w14:textFill>
        </w:rPr>
      </w:pPr>
      <w:r>
        <w:rPr>
          <w:rFonts w:ascii="仿宋" w:hAnsi="仿宋" w:eastAsia="仿宋" w:cs="仿宋"/>
          <w:color w:val="000000" w:themeColor="text1"/>
          <w:sz w:val="32"/>
          <w:szCs w:val="32"/>
          <w14:textFill>
            <w14:solidFill>
              <w14:schemeClr w14:val="tx1"/>
            </w14:solidFill>
          </w14:textFill>
        </w:rPr>
        <w:br w:type="page"/>
      </w:r>
    </w:p>
    <w:p>
      <w:pPr>
        <w:spacing w:before="156" w:beforeLines="50" w:after="156" w:afterLines="50" w:line="440" w:lineRule="exact"/>
        <w:jc w:val="left"/>
        <w:outlineLvl w:val="3"/>
        <w:rPr>
          <w:rFonts w:ascii="仿宋_GB2312" w:eastAsia="仿宋_GB2312"/>
          <w:color w:val="000000" w:themeColor="text1"/>
          <w:sz w:val="30"/>
          <w:szCs w:val="30"/>
          <w14:textFill>
            <w14:solidFill>
              <w14:schemeClr w14:val="tx1"/>
            </w14:solidFill>
          </w14:textFill>
        </w:rPr>
      </w:pPr>
      <w:r>
        <w:rPr>
          <w:rFonts w:hint="eastAsia" w:ascii="仿宋_GB2312" w:eastAsia="仿宋_GB2312"/>
          <w:color w:val="000000" w:themeColor="text1"/>
          <w:sz w:val="30"/>
          <w:szCs w:val="30"/>
          <w14:textFill>
            <w14:solidFill>
              <w14:schemeClr w14:val="tx1"/>
            </w14:solidFill>
          </w14:textFill>
        </w:rPr>
        <w:t>附件1</w:t>
      </w:r>
      <w:r>
        <w:rPr>
          <w:rFonts w:ascii="仿宋_GB2312" w:eastAsia="仿宋_GB2312"/>
          <w:color w:val="000000" w:themeColor="text1"/>
          <w:sz w:val="30"/>
          <w:szCs w:val="30"/>
          <w14:textFill>
            <w14:solidFill>
              <w14:schemeClr w14:val="tx1"/>
            </w14:solidFill>
          </w14:textFill>
        </w:rPr>
        <w:t>5</w:t>
      </w:r>
      <w:r>
        <w:rPr>
          <w:rFonts w:hint="eastAsia" w:ascii="仿宋_GB2312" w:eastAsia="仿宋_GB2312"/>
          <w:color w:val="000000" w:themeColor="text1"/>
          <w:sz w:val="30"/>
          <w:szCs w:val="30"/>
          <w14:textFill>
            <w14:solidFill>
              <w14:schemeClr w14:val="tx1"/>
            </w14:solidFill>
          </w14:textFill>
        </w:rPr>
        <w:t>：</w:t>
      </w:r>
    </w:p>
    <w:p>
      <w:pPr>
        <w:spacing w:before="156" w:beforeLines="50" w:after="156" w:afterLines="50" w:line="440" w:lineRule="exact"/>
        <w:jc w:val="center"/>
        <w:rPr>
          <w:color w:val="000000" w:themeColor="text1"/>
          <w:sz w:val="32"/>
          <w14:textFill>
            <w14:solidFill>
              <w14:schemeClr w14:val="tx1"/>
            </w14:solidFill>
          </w14:textFill>
        </w:rPr>
      </w:pPr>
      <w:r>
        <w:rPr>
          <w:rFonts w:hint="eastAsia" w:eastAsia="黑体"/>
          <w:color w:val="000000" w:themeColor="text1"/>
          <w:sz w:val="32"/>
          <w:szCs w:val="32"/>
          <w14:textFill>
            <w14:solidFill>
              <w14:schemeClr w14:val="tx1"/>
            </w14:solidFill>
          </w14:textFill>
        </w:rPr>
        <w:t>工程量清单</w:t>
      </w:r>
    </w:p>
    <w:p/>
    <w:p>
      <w:pPr>
        <w:pStyle w:val="2"/>
        <w:ind w:left="420" w:firstLine="420"/>
      </w:pPr>
    </w:p>
    <w:p>
      <w:pPr>
        <w:pStyle w:val="4"/>
        <w:ind w:left="420"/>
      </w:pPr>
    </w:p>
    <w:p>
      <w:pPr>
        <w:pStyle w:val="80"/>
        <w:spacing w:before="156" w:after="156" w:line="240" w:lineRule="auto"/>
        <w:jc w:val="center"/>
        <w:rPr>
          <w:rFonts w:eastAsia="华文中宋"/>
          <w:color w:val="000000" w:themeColor="text1"/>
          <w14:textFill>
            <w14:solidFill>
              <w14:schemeClr w14:val="tx1"/>
            </w14:solidFill>
          </w14:textFill>
        </w:rPr>
        <w:sectPr>
          <w:headerReference r:id="rId15" w:type="first"/>
          <w:headerReference r:id="rId13" w:type="default"/>
          <w:headerReference r:id="rId14" w:type="even"/>
          <w:footerReference r:id="rId16" w:type="even"/>
          <w:pgSz w:w="11906" w:h="16838"/>
          <w:pgMar w:top="1418" w:right="1555" w:bottom="567" w:left="1531" w:header="851" w:footer="992" w:gutter="0"/>
          <w:cols w:space="720" w:num="1"/>
          <w:titlePg/>
          <w:docGrid w:type="lines" w:linePitch="312" w:charSpace="0"/>
        </w:sectPr>
      </w:pPr>
      <w:bookmarkStart w:id="107" w:name="_Toc296503025"/>
      <w:bookmarkStart w:id="108" w:name="_Toc296890982"/>
    </w:p>
    <w:bookmarkEnd w:id="100"/>
    <w:bookmarkEnd w:id="101"/>
    <w:bookmarkEnd w:id="107"/>
    <w:bookmarkEnd w:id="108"/>
    <w:p>
      <w:pPr>
        <w:pStyle w:val="6"/>
        <w:spacing w:before="0" w:after="0" w:line="360" w:lineRule="auto"/>
        <w:jc w:val="center"/>
        <w:rPr>
          <w:rFonts w:ascii="宋体" w:hAnsi="宋体"/>
          <w:i w:val="0"/>
          <w:iCs w:val="0"/>
        </w:rPr>
      </w:pPr>
      <w:bookmarkStart w:id="109" w:name="_Toc363561430"/>
      <w:bookmarkStart w:id="110" w:name="_Toc294124224"/>
      <w:bookmarkStart w:id="111" w:name="_Toc1254"/>
      <w:bookmarkStart w:id="112" w:name="_Toc19722"/>
      <w:bookmarkStart w:id="113" w:name="_Toc17162"/>
      <w:bookmarkStart w:id="114" w:name="_Toc22187"/>
      <w:bookmarkStart w:id="115" w:name="_Toc28547"/>
      <w:bookmarkStart w:id="116" w:name="_Toc20700"/>
      <w:bookmarkStart w:id="117" w:name="_Toc19628"/>
      <w:bookmarkStart w:id="118" w:name="_Toc211261920"/>
      <w:bookmarkStart w:id="119" w:name="_Toc372"/>
      <w:bookmarkStart w:id="120" w:name="_Toc24390"/>
      <w:bookmarkStart w:id="121" w:name="_Toc3675"/>
      <w:bookmarkStart w:id="122" w:name="_Toc17817340"/>
      <w:bookmarkStart w:id="123" w:name="_Toc15775"/>
      <w:r>
        <w:rPr>
          <w:rFonts w:hint="eastAsia" w:ascii="宋体" w:hAnsi="宋体"/>
          <w:i w:val="0"/>
          <w:iCs w:val="0"/>
        </w:rPr>
        <w:t xml:space="preserve">第五章 </w:t>
      </w:r>
      <w:bookmarkEnd w:id="109"/>
      <w:bookmarkEnd w:id="110"/>
      <w:r>
        <w:rPr>
          <w:rFonts w:hint="eastAsia" w:ascii="宋体" w:hAnsi="宋体"/>
          <w:i w:val="0"/>
          <w:iCs w:val="0"/>
        </w:rPr>
        <w:t>投标报价要求</w:t>
      </w:r>
      <w:bookmarkEnd w:id="111"/>
      <w:bookmarkEnd w:id="112"/>
      <w:bookmarkEnd w:id="113"/>
      <w:bookmarkEnd w:id="114"/>
      <w:bookmarkEnd w:id="115"/>
      <w:bookmarkEnd w:id="116"/>
      <w:bookmarkEnd w:id="117"/>
      <w:bookmarkEnd w:id="118"/>
      <w:bookmarkEnd w:id="119"/>
      <w:bookmarkEnd w:id="120"/>
      <w:bookmarkEnd w:id="121"/>
    </w:p>
    <w:p>
      <w:pPr>
        <w:pStyle w:val="7"/>
        <w:rPr>
          <w:rFonts w:ascii="宋体" w:hAnsi="宋体" w:cs="TimesNewRomanPSMT"/>
          <w:bCs w:val="0"/>
          <w:i/>
          <w:iCs/>
          <w:sz w:val="24"/>
          <w:szCs w:val="24"/>
        </w:rPr>
      </w:pPr>
      <w:bookmarkStart w:id="124" w:name="_Toc29049"/>
      <w:bookmarkStart w:id="125" w:name="_Toc211261921"/>
      <w:bookmarkStart w:id="126" w:name="_Toc15712"/>
      <w:bookmarkStart w:id="127" w:name="_Toc31115"/>
      <w:bookmarkStart w:id="128" w:name="_Toc13043"/>
      <w:bookmarkStart w:id="129" w:name="_Toc32090"/>
      <w:bookmarkStart w:id="130" w:name="_Toc30645"/>
      <w:bookmarkStart w:id="131" w:name="_Toc10292"/>
      <w:bookmarkStart w:id="132" w:name="_Toc12962"/>
      <w:bookmarkStart w:id="133" w:name="_Toc13478"/>
      <w:bookmarkStart w:id="134" w:name="_Toc13861"/>
      <w:bookmarkStart w:id="135" w:name="_Toc152042556"/>
      <w:bookmarkStart w:id="136" w:name="_Toc179632791"/>
      <w:bookmarkStart w:id="137" w:name="_Toc294124225"/>
      <w:bookmarkStart w:id="138" w:name="_Toc152045774"/>
      <w:bookmarkStart w:id="139" w:name="_Toc144974836"/>
      <w:bookmarkStart w:id="140" w:name="_Toc460268094"/>
      <w:bookmarkStart w:id="141" w:name="_Toc483482271"/>
      <w:bookmarkStart w:id="142" w:name="_Toc246996342"/>
      <w:bookmarkStart w:id="143" w:name="_Toc446768885"/>
      <w:bookmarkStart w:id="144" w:name="_Toc247085857"/>
      <w:bookmarkStart w:id="145" w:name="_Toc485293292"/>
      <w:bookmarkStart w:id="146" w:name="_Toc246997085"/>
      <w:r>
        <w:rPr>
          <w:rFonts w:hint="eastAsia" w:ascii="宋体" w:hAnsi="宋体" w:cs="TimesNewRomanPSMT"/>
          <w:bCs w:val="0"/>
          <w:sz w:val="24"/>
          <w:szCs w:val="24"/>
        </w:rPr>
        <w:t>1 工程量清单部分</w:t>
      </w:r>
      <w:bookmarkEnd w:id="124"/>
      <w:bookmarkEnd w:id="125"/>
      <w:bookmarkEnd w:id="126"/>
      <w:bookmarkEnd w:id="127"/>
      <w:bookmarkEnd w:id="128"/>
      <w:bookmarkEnd w:id="129"/>
      <w:bookmarkEnd w:id="130"/>
      <w:bookmarkEnd w:id="131"/>
      <w:bookmarkEnd w:id="132"/>
      <w:bookmarkEnd w:id="133"/>
      <w:bookmarkEnd w:id="134"/>
    </w:p>
    <w:p/>
    <w:p>
      <w:pPr>
        <w:spacing w:after="120" w:line="360" w:lineRule="auto"/>
        <w:ind w:firstLine="422" w:firstLineChars="200"/>
        <w:rPr>
          <w:b/>
          <w:bCs/>
        </w:rPr>
      </w:pPr>
      <w:r>
        <w:rPr>
          <w:rFonts w:hint="eastAsia"/>
          <w:b/>
          <w:bCs/>
        </w:rPr>
        <w:t>1.1工程量清单说明</w:t>
      </w:r>
    </w:p>
    <w:p>
      <w:pPr>
        <w:snapToGrid w:val="0"/>
        <w:spacing w:line="440" w:lineRule="exact"/>
        <w:ind w:firstLine="525" w:firstLineChars="250"/>
        <w:rPr>
          <w:rFonts w:ascii="宋体" w:hAnsi="宋体"/>
          <w:szCs w:val="21"/>
        </w:rPr>
      </w:pPr>
      <w:r>
        <w:rPr>
          <w:rFonts w:hint="eastAsia" w:ascii="宋体" w:hAnsi="宋体"/>
          <w:szCs w:val="21"/>
        </w:rPr>
        <w:t>1.1.1本工程量清单是依据中华人民共和国国家标准《建设工程工程量清单计价规范》（GB50500-2013）(以下简称“计价规范”)、中华人民共和国国家标准《房屋建筑与装饰工程工程量计算规范》（GB50854-2013）、中华人民共和国国家标准《通用安装工程工程量计算规范》（GB50856-2013）、2016版《山东省建设工程费用项目组成及计算规则》、《山东省建筑工程消耗量定额》（SD 01-31-2016）、《山东省安装工程消耗量定额》（SD 02-31-2016）以及招标文件中包括的设计施工图纸及施工现场情况等编制计价规范中规定的工程量计算规则中没有的子目，应在本章第1.4款约定；计价规范中规定的工程量计算规则中没有且本章第1.4款也未约定的，双方协商确定；协商不成的，可向省级或行业工程造价管理机构申请裁定或按照有合同约束力的图纸所标示尺寸的理论净量计算。计量采用中华人民共和国法定的基本计量单位。</w:t>
      </w:r>
    </w:p>
    <w:p>
      <w:pPr>
        <w:snapToGrid w:val="0"/>
        <w:spacing w:line="440" w:lineRule="exact"/>
        <w:ind w:firstLine="525" w:firstLineChars="250"/>
        <w:rPr>
          <w:rFonts w:ascii="宋体" w:hAnsi="宋体"/>
          <w:szCs w:val="21"/>
        </w:rPr>
      </w:pPr>
      <w:r>
        <w:rPr>
          <w:rFonts w:hint="eastAsia" w:ascii="宋体" w:hAnsi="宋体"/>
          <w:szCs w:val="21"/>
        </w:rPr>
        <w:t>1.1.2本工程量清单应与招标文件中的投标人须知、通用合同条款、专用合同条款、技术标准和要求及图纸等章节内容一起阅读和理解。</w:t>
      </w:r>
    </w:p>
    <w:p>
      <w:pPr>
        <w:snapToGrid w:val="0"/>
        <w:spacing w:line="440" w:lineRule="exact"/>
        <w:ind w:firstLine="525" w:firstLineChars="250"/>
        <w:rPr>
          <w:rFonts w:ascii="宋体" w:hAnsi="宋体"/>
          <w:szCs w:val="21"/>
        </w:rPr>
      </w:pPr>
      <w:r>
        <w:rPr>
          <w:rFonts w:hint="eastAsia" w:ascii="宋体" w:hAnsi="宋体"/>
          <w:szCs w:val="21"/>
        </w:rPr>
        <w:t>1.1.3本工程量清单仅是投标报价的共同基础，竣工结算的工程量按合同约定确定。合同价格的确定以及价款支付应遵循合同条款(包括通用合同条款和专用合同条款)、技术标准和要求以及本章的有关约定。</w:t>
      </w:r>
    </w:p>
    <w:p>
      <w:pPr>
        <w:snapToGrid w:val="0"/>
        <w:spacing w:line="440" w:lineRule="exact"/>
        <w:ind w:firstLine="525" w:firstLineChars="250"/>
        <w:rPr>
          <w:rFonts w:ascii="宋体" w:hAnsi="宋体"/>
          <w:szCs w:val="21"/>
        </w:rPr>
      </w:pPr>
      <w:r>
        <w:rPr>
          <w:rFonts w:hint="eastAsia" w:ascii="宋体" w:hAnsi="宋体"/>
          <w:szCs w:val="21"/>
        </w:rPr>
        <w:t>1.1.4补充子目的子目特征、计量单位、工程量计算规则及工作内容说明如下：</w:t>
      </w:r>
    </w:p>
    <w:p>
      <w:pPr>
        <w:snapToGrid w:val="0"/>
        <w:spacing w:line="440" w:lineRule="exact"/>
        <w:ind w:firstLine="525" w:firstLineChars="250"/>
        <w:rPr>
          <w:rFonts w:ascii="宋体" w:hAnsi="宋体"/>
          <w:szCs w:val="21"/>
        </w:rPr>
      </w:pPr>
      <w:r>
        <w:rPr>
          <w:rFonts w:hint="eastAsia" w:ascii="宋体" w:hAnsi="宋体"/>
          <w:szCs w:val="21"/>
          <w:u w:val="single"/>
        </w:rPr>
        <w:t xml:space="preserve">                     详见招标工程量清单                      </w:t>
      </w:r>
      <w:r>
        <w:rPr>
          <w:rFonts w:hint="eastAsia" w:ascii="宋体" w:hAnsi="宋体"/>
          <w:szCs w:val="21"/>
        </w:rPr>
        <w:t>。</w:t>
      </w:r>
    </w:p>
    <w:p>
      <w:pPr>
        <w:snapToGrid w:val="0"/>
        <w:spacing w:line="440" w:lineRule="exact"/>
        <w:ind w:firstLine="525" w:firstLineChars="250"/>
        <w:rPr>
          <w:rFonts w:ascii="宋体" w:hAnsi="宋体"/>
          <w:szCs w:val="21"/>
        </w:rPr>
      </w:pPr>
      <w:r>
        <w:rPr>
          <w:rFonts w:hint="eastAsia" w:ascii="宋体" w:hAnsi="宋体"/>
          <w:szCs w:val="21"/>
        </w:rPr>
        <w:t>1.1.5本条第1.1款中约定的计量和计价规则适用于合同履约过程中工程量计量与价款支付、工程变更、索赔和工程结算。</w:t>
      </w:r>
    </w:p>
    <w:p>
      <w:pPr>
        <w:snapToGrid w:val="0"/>
        <w:spacing w:line="440" w:lineRule="exact"/>
        <w:ind w:firstLine="525" w:firstLineChars="250"/>
        <w:rPr>
          <w:rFonts w:ascii="宋体" w:hAnsi="宋体"/>
          <w:szCs w:val="21"/>
        </w:rPr>
      </w:pPr>
      <w:r>
        <w:rPr>
          <w:rFonts w:hint="eastAsia" w:ascii="宋体" w:hAnsi="宋体"/>
          <w:szCs w:val="21"/>
        </w:rPr>
        <w:t>1.1.6本条与下述第2条、第3条和第4条的说明内容是构成合同文件的已标价工程量清单的组成部分。</w:t>
      </w:r>
    </w:p>
    <w:p>
      <w:pPr>
        <w:pStyle w:val="19"/>
      </w:pPr>
    </w:p>
    <w:p>
      <w:pPr>
        <w:spacing w:after="120" w:line="360" w:lineRule="auto"/>
        <w:ind w:firstLine="422" w:firstLineChars="200"/>
        <w:rPr>
          <w:b/>
          <w:bCs/>
        </w:rPr>
      </w:pPr>
      <w:bookmarkStart w:id="147" w:name="_Toc483482272"/>
      <w:r>
        <w:rPr>
          <w:rFonts w:hint="eastAsia"/>
          <w:b/>
          <w:bCs/>
        </w:rPr>
        <w:t>1.2投标报价说明</w:t>
      </w:r>
      <w:bookmarkEnd w:id="147"/>
    </w:p>
    <w:p>
      <w:pPr>
        <w:snapToGrid w:val="0"/>
        <w:spacing w:line="440" w:lineRule="exact"/>
        <w:ind w:firstLine="527" w:firstLineChars="250"/>
        <w:rPr>
          <w:rFonts w:ascii="宋体" w:hAnsi="宋体"/>
          <w:szCs w:val="21"/>
        </w:rPr>
      </w:pPr>
      <w:r>
        <w:rPr>
          <w:rFonts w:hint="eastAsia" w:ascii="宋体" w:hAnsi="宋体"/>
          <w:b/>
          <w:bCs/>
          <w:szCs w:val="21"/>
        </w:rPr>
        <w:t>1.2.1投标报价应根据招标文件中的有关计价要求，并按照下列依据自主报价。</w:t>
      </w:r>
    </w:p>
    <w:p>
      <w:pPr>
        <w:numPr>
          <w:ilvl w:val="0"/>
          <w:numId w:val="13"/>
        </w:numPr>
        <w:snapToGrid w:val="0"/>
        <w:spacing w:line="440" w:lineRule="exact"/>
        <w:ind w:firstLine="525" w:firstLineChars="250"/>
        <w:rPr>
          <w:rFonts w:ascii="宋体" w:hAnsi="宋体"/>
          <w:szCs w:val="21"/>
        </w:rPr>
      </w:pPr>
      <w:r>
        <w:rPr>
          <w:rFonts w:hint="eastAsia" w:ascii="宋体" w:hAnsi="宋体"/>
          <w:szCs w:val="21"/>
        </w:rPr>
        <w:t>本招标文件；</w:t>
      </w:r>
    </w:p>
    <w:p>
      <w:pPr>
        <w:snapToGrid w:val="0"/>
        <w:spacing w:line="440" w:lineRule="exact"/>
        <w:ind w:firstLine="525" w:firstLineChars="250"/>
        <w:rPr>
          <w:rFonts w:ascii="宋体" w:hAnsi="宋体"/>
          <w:szCs w:val="21"/>
        </w:rPr>
      </w:pPr>
      <w:r>
        <w:rPr>
          <w:rFonts w:hint="eastAsia" w:ascii="宋体" w:hAnsi="宋体"/>
          <w:szCs w:val="21"/>
        </w:rPr>
        <w:t>(2)《建设工程工程量清单计价规范》（GB50500-2013）；</w:t>
      </w:r>
    </w:p>
    <w:p>
      <w:pPr>
        <w:snapToGrid w:val="0"/>
        <w:spacing w:line="440" w:lineRule="exact"/>
        <w:ind w:firstLine="525" w:firstLineChars="250"/>
        <w:rPr>
          <w:rFonts w:ascii="宋体" w:hAnsi="宋体"/>
          <w:szCs w:val="21"/>
        </w:rPr>
      </w:pPr>
      <w:r>
        <w:rPr>
          <w:rFonts w:ascii="宋体" w:hAnsi="宋体"/>
          <w:szCs w:val="21"/>
        </w:rPr>
        <w:t>(3)</w:t>
      </w:r>
      <w:r>
        <w:rPr>
          <w:rFonts w:hint="eastAsia" w:ascii="宋体" w:hAnsi="宋体"/>
          <w:szCs w:val="21"/>
        </w:rPr>
        <w:t xml:space="preserve"> 2016版《山东省建设工程费用项目组成及计算规则》；</w:t>
      </w:r>
    </w:p>
    <w:p>
      <w:pPr>
        <w:snapToGrid w:val="0"/>
        <w:spacing w:line="440" w:lineRule="exact"/>
        <w:ind w:firstLine="525" w:firstLineChars="250"/>
        <w:rPr>
          <w:rFonts w:ascii="宋体" w:hAnsi="宋体"/>
          <w:szCs w:val="21"/>
        </w:rPr>
      </w:pPr>
      <w:r>
        <w:rPr>
          <w:rFonts w:hint="eastAsia" w:ascii="宋体" w:hAnsi="宋体"/>
          <w:szCs w:val="21"/>
        </w:rPr>
        <w:t>(4)招标文件(包括工程量清单)的澄清、补充和修改文件；</w:t>
      </w:r>
    </w:p>
    <w:p>
      <w:pPr>
        <w:snapToGrid w:val="0"/>
        <w:spacing w:line="440" w:lineRule="exact"/>
        <w:ind w:firstLine="525" w:firstLineChars="250"/>
        <w:rPr>
          <w:rFonts w:ascii="宋体" w:hAnsi="宋体"/>
          <w:szCs w:val="21"/>
        </w:rPr>
      </w:pPr>
      <w:r>
        <w:rPr>
          <w:rFonts w:hint="eastAsia" w:ascii="宋体" w:hAnsi="宋体"/>
          <w:szCs w:val="21"/>
        </w:rPr>
        <w:t>(5)施工现场情况、工程特点及拟定的投标施工组织设计或施工方案；</w:t>
      </w:r>
    </w:p>
    <w:p>
      <w:pPr>
        <w:snapToGrid w:val="0"/>
        <w:spacing w:line="440" w:lineRule="exact"/>
        <w:ind w:firstLine="525" w:firstLineChars="250"/>
        <w:rPr>
          <w:rFonts w:ascii="宋体" w:hAnsi="宋体"/>
          <w:szCs w:val="21"/>
        </w:rPr>
      </w:pPr>
      <w:r>
        <w:rPr>
          <w:rFonts w:hint="eastAsia" w:ascii="宋体" w:hAnsi="宋体"/>
          <w:szCs w:val="21"/>
        </w:rPr>
        <w:t>(6)市场价格信息或工程造价管理机构发布的工程造价信息；</w:t>
      </w:r>
    </w:p>
    <w:p>
      <w:pPr>
        <w:snapToGrid w:val="0"/>
        <w:spacing w:line="440" w:lineRule="exact"/>
        <w:ind w:firstLine="525" w:firstLineChars="250"/>
        <w:rPr>
          <w:rFonts w:ascii="宋体" w:hAnsi="宋体"/>
          <w:szCs w:val="21"/>
        </w:rPr>
      </w:pPr>
      <w:r>
        <w:rPr>
          <w:rFonts w:hint="eastAsia" w:ascii="宋体" w:hAnsi="宋体"/>
          <w:szCs w:val="21"/>
        </w:rPr>
        <w:t>(7)济南市现行有关规定。</w:t>
      </w:r>
    </w:p>
    <w:p>
      <w:pPr>
        <w:snapToGrid w:val="0"/>
        <w:spacing w:line="440" w:lineRule="exact"/>
        <w:ind w:firstLine="525" w:firstLineChars="250"/>
        <w:rPr>
          <w:rFonts w:ascii="宋体" w:hAnsi="宋体"/>
          <w:szCs w:val="21"/>
        </w:rPr>
      </w:pPr>
      <w:r>
        <w:rPr>
          <w:rFonts w:hint="eastAsia" w:ascii="宋体" w:hAnsi="宋体"/>
          <w:szCs w:val="21"/>
        </w:rPr>
        <w:t>(8)其他注意事项：</w:t>
      </w:r>
    </w:p>
    <w:p>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pPr>
        <w:snapToGrid w:val="0"/>
        <w:spacing w:line="440" w:lineRule="exact"/>
        <w:ind w:firstLine="525" w:firstLineChars="250"/>
        <w:rPr>
          <w:rFonts w:ascii="宋体" w:hAnsi="宋体"/>
          <w:szCs w:val="21"/>
        </w:rPr>
      </w:pPr>
      <w:r>
        <w:rPr>
          <w:rFonts w:hint="eastAsia" w:ascii="宋体" w:hAnsi="宋体"/>
          <w:szCs w:val="21"/>
        </w:rPr>
        <w:t>2）</w:t>
      </w:r>
      <w:r>
        <w:rPr>
          <w:rFonts w:hint="eastAsia" w:ascii="宋体" w:hAnsi="宋体"/>
          <w:b/>
          <w:bCs/>
          <w:szCs w:val="21"/>
        </w:rPr>
        <w:t>在工程建设过程中发生一切安全及质量责任事故均由中标单位承担，并支付所发生的一切费用。</w:t>
      </w:r>
    </w:p>
    <w:p>
      <w:pPr>
        <w:snapToGrid w:val="0"/>
        <w:spacing w:line="440" w:lineRule="exact"/>
        <w:ind w:firstLine="525" w:firstLineChars="250"/>
        <w:rPr>
          <w:rFonts w:ascii="宋体" w:hAnsi="宋体"/>
          <w:szCs w:val="21"/>
        </w:rPr>
      </w:pPr>
      <w:r>
        <w:rPr>
          <w:rFonts w:hint="eastAsia" w:ascii="宋体" w:hAnsi="宋体"/>
          <w:szCs w:val="21"/>
        </w:rPr>
        <w:t>(9)投标人在投标报价时应综合考虑以下费用：</w:t>
      </w:r>
    </w:p>
    <w:p>
      <w:pPr>
        <w:snapToGrid w:val="0"/>
        <w:spacing w:line="440" w:lineRule="exact"/>
        <w:ind w:firstLine="525" w:firstLineChars="250"/>
        <w:rPr>
          <w:rFonts w:ascii="宋体" w:hAnsi="宋体"/>
          <w:szCs w:val="21"/>
        </w:rPr>
      </w:pPr>
      <w:r>
        <w:rPr>
          <w:rFonts w:hint="eastAsia" w:ascii="宋体" w:hAnsi="宋体"/>
          <w:szCs w:val="21"/>
        </w:rPr>
        <w:t>1）因招标文件及合同特殊要求而发生的费用；</w:t>
      </w:r>
    </w:p>
    <w:p>
      <w:pPr>
        <w:snapToGrid w:val="0"/>
        <w:spacing w:line="440" w:lineRule="exact"/>
        <w:ind w:firstLine="525" w:firstLineChars="250"/>
        <w:rPr>
          <w:rFonts w:ascii="宋体" w:hAnsi="宋体"/>
          <w:szCs w:val="21"/>
        </w:rPr>
      </w:pPr>
      <w:r>
        <w:rPr>
          <w:rFonts w:hint="eastAsia" w:ascii="宋体" w:hAnsi="宋体"/>
          <w:szCs w:val="21"/>
        </w:rPr>
        <w:t>2）工程量清单没有体现而施工中又必然发生的费用；</w:t>
      </w:r>
    </w:p>
    <w:p>
      <w:pPr>
        <w:snapToGrid w:val="0"/>
        <w:spacing w:line="440" w:lineRule="exact"/>
        <w:ind w:firstLine="525" w:firstLineChars="250"/>
        <w:rPr>
          <w:rFonts w:ascii="宋体" w:hAnsi="宋体"/>
          <w:szCs w:val="21"/>
        </w:rPr>
      </w:pPr>
      <w:r>
        <w:rPr>
          <w:rFonts w:hint="eastAsia" w:ascii="宋体" w:hAnsi="宋体"/>
          <w:szCs w:val="21"/>
        </w:rPr>
        <w:t>3）投标人投标报价时应充分考虑招标文件\第四章 合同主要条款中相关约定；</w:t>
      </w:r>
    </w:p>
    <w:p>
      <w:pPr>
        <w:snapToGrid w:val="0"/>
        <w:spacing w:line="440" w:lineRule="exact"/>
        <w:ind w:firstLine="525" w:firstLineChars="250"/>
        <w:rPr>
          <w:rFonts w:ascii="宋体" w:hAnsi="宋体"/>
          <w:szCs w:val="21"/>
        </w:rPr>
      </w:pPr>
      <w:r>
        <w:rPr>
          <w:rFonts w:hint="eastAsia" w:ascii="宋体" w:hAnsi="宋体"/>
          <w:szCs w:val="21"/>
        </w:rPr>
        <w:t>4）施工过程中政府部门向承包人收取的相应费用和保证金等，以及政府部门要求的工地周边道路扬尘治理、环境卫生、城市美化等费用；</w:t>
      </w:r>
    </w:p>
    <w:p>
      <w:pPr>
        <w:snapToGrid w:val="0"/>
        <w:spacing w:line="440" w:lineRule="exact"/>
        <w:ind w:firstLine="525" w:firstLineChars="250"/>
        <w:rPr>
          <w:rFonts w:ascii="宋体" w:hAnsi="宋体"/>
          <w:szCs w:val="21"/>
        </w:rPr>
      </w:pPr>
      <w:r>
        <w:rPr>
          <w:rFonts w:hint="eastAsia" w:ascii="宋体" w:hAnsi="宋体"/>
          <w:szCs w:val="21"/>
        </w:rPr>
        <w:t>5）考虑合同明示和暗示的所有责任、义务及不可抗力以外的一切风险因素等所发生的所有费用；</w:t>
      </w:r>
    </w:p>
    <w:p>
      <w:pPr>
        <w:snapToGrid w:val="0"/>
        <w:spacing w:line="440" w:lineRule="exact"/>
        <w:ind w:firstLine="525" w:firstLineChars="250"/>
        <w:rPr>
          <w:rFonts w:ascii="宋体" w:hAnsi="宋体"/>
          <w:szCs w:val="21"/>
        </w:rPr>
      </w:pPr>
      <w:r>
        <w:rPr>
          <w:rFonts w:hint="eastAsia" w:ascii="宋体" w:hAnsi="宋体"/>
          <w:szCs w:val="21"/>
        </w:rPr>
        <w:t>6）投标单位应自行考虑临时停水、停电的应急预案，并在投标报价中综合考虑；</w:t>
      </w:r>
    </w:p>
    <w:p>
      <w:pPr>
        <w:snapToGrid w:val="0"/>
        <w:spacing w:line="440" w:lineRule="exact"/>
        <w:ind w:firstLine="527" w:firstLineChars="250"/>
        <w:rPr>
          <w:rFonts w:ascii="宋体" w:hAnsi="宋体"/>
          <w:b/>
          <w:bCs/>
          <w:szCs w:val="21"/>
        </w:rPr>
      </w:pPr>
      <w:bookmarkStart w:id="148" w:name="_Toc483482273"/>
      <w:bookmarkStart w:id="149" w:name="_Toc32311"/>
      <w:bookmarkStart w:id="150" w:name="_Toc2530"/>
      <w:r>
        <w:rPr>
          <w:rFonts w:hint="eastAsia" w:ascii="宋体" w:hAnsi="宋体"/>
          <w:b/>
          <w:bCs/>
          <w:szCs w:val="21"/>
        </w:rPr>
        <w:t>1.2.2投标人报价须知</w:t>
      </w:r>
      <w:bookmarkEnd w:id="148"/>
    </w:p>
    <w:p>
      <w:pPr>
        <w:snapToGrid w:val="0"/>
        <w:spacing w:line="440" w:lineRule="exact"/>
        <w:ind w:firstLine="525" w:firstLineChars="250"/>
        <w:rPr>
          <w:rFonts w:ascii="宋体" w:hAnsi="宋体"/>
          <w:szCs w:val="21"/>
        </w:rPr>
      </w:pPr>
      <w:r>
        <w:rPr>
          <w:rFonts w:hint="eastAsia" w:ascii="宋体" w:hAnsi="宋体"/>
          <w:szCs w:val="21"/>
        </w:rPr>
        <w:t>（1）应按工程量清单报价格式规定的内容进行编制、填写、签字、盖章。</w:t>
      </w:r>
    </w:p>
    <w:p>
      <w:pPr>
        <w:snapToGrid w:val="0"/>
        <w:spacing w:line="440" w:lineRule="exact"/>
        <w:ind w:firstLine="525" w:firstLineChars="250"/>
        <w:rPr>
          <w:rFonts w:ascii="宋体" w:hAnsi="宋体"/>
          <w:szCs w:val="21"/>
        </w:rPr>
      </w:pPr>
      <w:r>
        <w:rPr>
          <w:rFonts w:hint="eastAsia" w:ascii="宋体" w:hAnsi="宋体"/>
          <w:szCs w:val="21"/>
        </w:rPr>
        <w:t>（2）工程量清单及其报价格式中的任何内容不得随意删除或修改。</w:t>
      </w:r>
    </w:p>
    <w:p>
      <w:pPr>
        <w:snapToGrid w:val="0"/>
        <w:spacing w:line="440" w:lineRule="exact"/>
        <w:ind w:firstLine="525" w:firstLineChars="250"/>
        <w:rPr>
          <w:rFonts w:ascii="宋体" w:hAnsi="宋体"/>
          <w:b/>
          <w:bCs/>
          <w:szCs w:val="21"/>
        </w:rPr>
      </w:pPr>
      <w:r>
        <w:rPr>
          <w:rFonts w:hint="eastAsia" w:ascii="宋体" w:hAnsi="宋体"/>
          <w:szCs w:val="21"/>
        </w:rPr>
        <w:t>（3）工程量清单报价格式中所有需要填报的单价和合价，投标人均应填报，每一项目只允许有一个报价，</w:t>
      </w:r>
      <w:r>
        <w:rPr>
          <w:rFonts w:hint="eastAsia" w:ascii="宋体" w:hAnsi="宋体"/>
          <w:b/>
          <w:bCs/>
          <w:szCs w:val="21"/>
        </w:rPr>
        <w:t>未填报的单价和合价视为此项费用已包含在工程量清单的其他单价或合价中。</w:t>
      </w:r>
    </w:p>
    <w:p>
      <w:pPr>
        <w:snapToGrid w:val="0"/>
        <w:spacing w:line="440" w:lineRule="exact"/>
        <w:ind w:firstLine="525" w:firstLineChars="250"/>
        <w:rPr>
          <w:rFonts w:ascii="宋体" w:hAnsi="宋体"/>
          <w:szCs w:val="21"/>
        </w:rPr>
      </w:pPr>
      <w:r>
        <w:rPr>
          <w:rFonts w:hint="eastAsia" w:ascii="宋体" w:hAnsi="宋体"/>
          <w:szCs w:val="21"/>
        </w:rPr>
        <w:t>（4）金额（价格）均应以人民币表示。</w:t>
      </w:r>
    </w:p>
    <w:p>
      <w:pPr>
        <w:snapToGrid w:val="0"/>
        <w:spacing w:line="440" w:lineRule="exact"/>
        <w:ind w:firstLine="525" w:firstLineChars="250"/>
        <w:rPr>
          <w:rFonts w:ascii="宋体" w:hAnsi="宋体"/>
          <w:szCs w:val="21"/>
        </w:rPr>
      </w:pPr>
      <w:r>
        <w:rPr>
          <w:rFonts w:hint="eastAsia" w:ascii="宋体" w:hAnsi="宋体"/>
          <w:szCs w:val="21"/>
        </w:rPr>
        <w:t>（5）各分项工程量清单的编制详见各分项专业的编制说明。</w:t>
      </w:r>
    </w:p>
    <w:p>
      <w:pPr>
        <w:snapToGrid w:val="0"/>
        <w:spacing w:line="440" w:lineRule="exact"/>
        <w:ind w:firstLine="525" w:firstLineChars="250"/>
        <w:rPr>
          <w:rFonts w:ascii="宋体" w:hAnsi="宋体"/>
          <w:szCs w:val="21"/>
        </w:rPr>
      </w:pPr>
      <w:r>
        <w:rPr>
          <w:rFonts w:hint="eastAsia" w:ascii="宋体" w:hAnsi="宋体"/>
          <w:szCs w:val="21"/>
        </w:rPr>
        <w:t>（6）工程质量：合格标准。</w:t>
      </w:r>
    </w:p>
    <w:p>
      <w:pPr>
        <w:snapToGrid w:val="0"/>
        <w:spacing w:line="440" w:lineRule="exact"/>
        <w:ind w:firstLine="527" w:firstLineChars="250"/>
        <w:rPr>
          <w:rFonts w:ascii="宋体" w:hAnsi="宋体"/>
          <w:b/>
          <w:szCs w:val="21"/>
        </w:rPr>
      </w:pPr>
      <w:r>
        <w:rPr>
          <w:rFonts w:hint="eastAsia" w:ascii="宋体" w:hAnsi="宋体"/>
          <w:b/>
          <w:szCs w:val="21"/>
        </w:rPr>
        <w:t>（7）投标人的报价不得改变工程量清单中的“序号、项目编码、项目名称、项目特征描述、计量单位、工程量”等内容，且不得有缺漏报价表的情况，否则按评分细则相关约定处理。</w:t>
      </w:r>
    </w:p>
    <w:p>
      <w:pPr>
        <w:snapToGrid w:val="0"/>
        <w:spacing w:line="440" w:lineRule="exact"/>
        <w:ind w:firstLine="527" w:firstLineChars="250"/>
        <w:rPr>
          <w:rFonts w:ascii="宋体" w:hAnsi="宋体"/>
          <w:b/>
          <w:bCs/>
          <w:szCs w:val="21"/>
        </w:rPr>
      </w:pPr>
      <w:bookmarkStart w:id="151" w:name="_Toc483482274"/>
      <w:r>
        <w:rPr>
          <w:rFonts w:hint="eastAsia" w:ascii="宋体" w:hAnsi="宋体"/>
          <w:b/>
          <w:bCs/>
          <w:szCs w:val="21"/>
        </w:rPr>
        <w:t>1.2.3投标报价的一般规定（报价要求包括但不限于）：</w:t>
      </w:r>
      <w:bookmarkEnd w:id="151"/>
    </w:p>
    <w:p>
      <w:pPr>
        <w:snapToGrid w:val="0"/>
        <w:spacing w:line="440" w:lineRule="exact"/>
        <w:ind w:firstLine="525" w:firstLineChars="250"/>
        <w:rPr>
          <w:rFonts w:ascii="宋体" w:hAnsi="宋体"/>
          <w:szCs w:val="21"/>
        </w:rPr>
      </w:pPr>
      <w:r>
        <w:rPr>
          <w:rFonts w:hint="eastAsia" w:ascii="宋体" w:hAnsi="宋体"/>
          <w:szCs w:val="21"/>
        </w:rPr>
        <w:t>（1）投标报价为投标人在投标文件中提出的各项支付金额的总和。</w:t>
      </w:r>
    </w:p>
    <w:p>
      <w:pPr>
        <w:snapToGrid w:val="0"/>
        <w:spacing w:line="440" w:lineRule="exact"/>
        <w:ind w:firstLine="525" w:firstLineChars="250"/>
        <w:rPr>
          <w:rFonts w:ascii="宋体" w:hAnsi="宋体"/>
          <w:szCs w:val="21"/>
        </w:rPr>
      </w:pPr>
      <w:r>
        <w:rPr>
          <w:rFonts w:hint="eastAsia" w:ascii="宋体" w:hAnsi="宋体"/>
          <w:szCs w:val="21"/>
        </w:rPr>
        <w:t>（2）投标人的投标报价，应是完成本投标须知和合同条款上所列招标工程范围及要求工期（含质保期）的全部工作所需费用总和，各种费用不得以任何理由予以重复，作为投标人计算单价或总价的依据。</w:t>
      </w:r>
    </w:p>
    <w:p>
      <w:pPr>
        <w:snapToGrid w:val="0"/>
        <w:spacing w:line="440" w:lineRule="exact"/>
        <w:ind w:firstLine="525" w:firstLineChars="250"/>
        <w:rPr>
          <w:rFonts w:ascii="宋体" w:hAnsi="宋体"/>
          <w:szCs w:val="21"/>
        </w:rPr>
      </w:pPr>
      <w:r>
        <w:rPr>
          <w:rFonts w:hint="eastAsia" w:ascii="宋体" w:hAnsi="宋体"/>
          <w:szCs w:val="21"/>
        </w:rPr>
        <w:t>（3）各投标人须根据下发的图纸，依据招标文件中提供的技术要求、工程量清单，进行自主市场报价，投标人任何漏项、漏报、少报、错报所产生的后果，投标人承担全部责任。</w:t>
      </w:r>
    </w:p>
    <w:p>
      <w:pPr>
        <w:snapToGrid w:val="0"/>
        <w:spacing w:line="440" w:lineRule="exact"/>
        <w:ind w:firstLine="525" w:firstLineChars="250"/>
        <w:rPr>
          <w:rFonts w:ascii="宋体" w:hAnsi="宋体"/>
          <w:szCs w:val="21"/>
        </w:rPr>
      </w:pPr>
      <w:r>
        <w:rPr>
          <w:rFonts w:hint="eastAsia" w:ascii="宋体" w:hAnsi="宋体"/>
          <w:szCs w:val="21"/>
        </w:rPr>
        <w:t>工程量清单应按综合单价报价。综合单价应包括为</w:t>
      </w:r>
      <w:r>
        <w:t>完成一个规定清单项目所需的人工费</w:t>
      </w:r>
      <w:r>
        <w:rPr>
          <w:rFonts w:hint="eastAsia"/>
        </w:rPr>
        <w:t>、</w:t>
      </w:r>
      <w:r>
        <w:t>材料</w:t>
      </w:r>
      <w:r>
        <w:rPr>
          <w:rFonts w:hint="eastAsia"/>
        </w:rPr>
        <w:t>、</w:t>
      </w:r>
      <w:r>
        <w:t>施工机具使用费和企业管理费</w:t>
      </w:r>
      <w:r>
        <w:rPr>
          <w:rFonts w:hint="eastAsia"/>
        </w:rPr>
        <w:t>、</w:t>
      </w:r>
      <w:r>
        <w:t>利润以及一定范围的风险费用</w:t>
      </w:r>
      <w:r>
        <w:rPr>
          <w:rFonts w:hint="eastAsia"/>
        </w:rPr>
        <w:t>等</w:t>
      </w:r>
      <w:r>
        <w:rPr>
          <w:rFonts w:hint="eastAsia" w:ascii="宋体" w:hAnsi="宋体"/>
          <w:szCs w:val="21"/>
        </w:rPr>
        <w:t>，招标人的特殊要求等而增加的费用</w:t>
      </w:r>
      <w:r>
        <w:rPr>
          <w:rFonts w:hint="eastAsia" w:ascii="宋体" w:hAnsi="宋体"/>
        </w:rPr>
        <w:t>（中标的综合单价在合同期内不得调整）</w:t>
      </w:r>
      <w:r>
        <w:rPr>
          <w:rFonts w:hint="eastAsia" w:ascii="宋体" w:hAnsi="宋体"/>
          <w:szCs w:val="21"/>
        </w:rPr>
        <w:t>。</w:t>
      </w:r>
    </w:p>
    <w:p>
      <w:pPr>
        <w:snapToGrid w:val="0"/>
        <w:spacing w:line="440" w:lineRule="exact"/>
        <w:ind w:firstLine="525" w:firstLineChars="250"/>
        <w:rPr>
          <w:rFonts w:ascii="宋体" w:hAnsi="宋体"/>
          <w:i/>
          <w:iCs/>
          <w:color w:val="FF0000"/>
          <w:szCs w:val="21"/>
          <w:u w:val="single"/>
        </w:rPr>
      </w:pPr>
      <w:r>
        <w:rPr>
          <w:rFonts w:hint="eastAsia" w:ascii="宋体" w:hAnsi="宋体"/>
          <w:szCs w:val="21"/>
        </w:rPr>
        <w:t>（4）投标人所报综合单价在合同有效期内，不随</w:t>
      </w:r>
      <w:r>
        <w:rPr>
          <w:rFonts w:hint="eastAsia" w:ascii="宋体" w:hAnsi="宋体"/>
          <w:szCs w:val="21"/>
          <w:u w:val="single"/>
        </w:rPr>
        <w:t>市场价格及除合同条款约定之外的政策调整而变化，且不随量的调整而变化</w:t>
      </w:r>
      <w:r>
        <w:rPr>
          <w:rFonts w:hint="eastAsia" w:ascii="宋体" w:hAnsi="宋体"/>
          <w:szCs w:val="21"/>
        </w:rPr>
        <w:t>，并作为结算的依据，除双方另有约定外结算时不得调整，投标人报价时综合考虑。投标人不得以报价时对现场实际情况了解不充分、报价时设计不完善、按主管部门要求必须进行设计修改或方案变更</w:t>
      </w:r>
      <w:r>
        <w:rPr>
          <w:rFonts w:hint="eastAsia" w:ascii="宋体" w:hAnsi="宋体"/>
          <w:szCs w:val="21"/>
          <w:u w:val="single"/>
        </w:rPr>
        <w:t>、市场价格浮动因素</w:t>
      </w:r>
      <w:r>
        <w:rPr>
          <w:rFonts w:hint="eastAsia" w:ascii="宋体" w:hAnsi="宋体"/>
          <w:szCs w:val="21"/>
        </w:rPr>
        <w:t>或其他政策性因素等情况为由，要求招标人调整合同单价。</w:t>
      </w:r>
    </w:p>
    <w:p>
      <w:pPr>
        <w:snapToGrid w:val="0"/>
        <w:spacing w:line="440" w:lineRule="exact"/>
        <w:ind w:firstLine="525" w:firstLineChars="250"/>
        <w:rPr>
          <w:rFonts w:ascii="宋体" w:hAnsi="宋体"/>
          <w:color w:val="FF0000"/>
          <w:szCs w:val="21"/>
          <w:u w:val="single"/>
        </w:rPr>
      </w:pPr>
      <w:r>
        <w:rPr>
          <w:rFonts w:hint="eastAsia" w:ascii="宋体" w:hAnsi="宋体"/>
          <w:szCs w:val="21"/>
        </w:rPr>
        <w:t>（5）本工程承包范围内的材料设备，按图纸设计要求和招标文件要求竞报。未做要求的其它材料设备由投标单位竞报,均必须标明相应产地、品牌、规格、型号、质量等级等，未填报质量层次的，现场以国标优等品验收（送检的时间在工期范围内）。</w:t>
      </w:r>
    </w:p>
    <w:p>
      <w:pPr>
        <w:snapToGrid w:val="0"/>
        <w:spacing w:line="440" w:lineRule="exact"/>
        <w:ind w:firstLine="525" w:firstLineChars="250"/>
        <w:rPr>
          <w:rFonts w:ascii="宋体" w:hAnsi="宋体"/>
          <w:szCs w:val="21"/>
        </w:rPr>
      </w:pPr>
      <w:r>
        <w:rPr>
          <w:rFonts w:hint="eastAsia" w:ascii="宋体" w:hAnsi="宋体"/>
          <w:szCs w:val="21"/>
        </w:rPr>
        <w:t>（6）工程量清单与招标文件一起发至投标人。</w:t>
      </w:r>
    </w:p>
    <w:p>
      <w:pPr>
        <w:snapToGrid w:val="0"/>
        <w:spacing w:line="440" w:lineRule="exact"/>
        <w:ind w:firstLine="525" w:firstLineChars="250"/>
        <w:rPr>
          <w:rFonts w:ascii="宋体" w:hAnsi="宋体"/>
          <w:szCs w:val="21"/>
        </w:rPr>
      </w:pPr>
      <w:r>
        <w:rPr>
          <w:rFonts w:hint="eastAsia" w:ascii="宋体" w:hAnsi="宋体"/>
          <w:szCs w:val="21"/>
        </w:rPr>
        <w:t>（7）投标人可应先到工地踏勘以充分理解工地位置、情况、道路、储存空间、装卸限制及任何其他足以影响承包价的情况，任何因忽视或误解工地情况而导致的索赔或工期延长申请将不被批准。</w:t>
      </w:r>
    </w:p>
    <w:p>
      <w:pPr>
        <w:snapToGrid w:val="0"/>
        <w:spacing w:line="440" w:lineRule="exact"/>
        <w:ind w:firstLine="525" w:firstLineChars="250"/>
        <w:rPr>
          <w:rFonts w:ascii="宋体" w:hAnsi="宋体"/>
          <w:szCs w:val="21"/>
        </w:rPr>
      </w:pPr>
      <w:r>
        <w:rPr>
          <w:rFonts w:hint="eastAsia" w:ascii="宋体" w:hAnsi="宋体"/>
          <w:szCs w:val="21"/>
        </w:rPr>
        <w:t>（8）其他注意事项：</w:t>
      </w:r>
    </w:p>
    <w:p>
      <w:pPr>
        <w:snapToGrid w:val="0"/>
        <w:spacing w:line="440" w:lineRule="exact"/>
        <w:ind w:firstLine="525" w:firstLineChars="250"/>
        <w:rPr>
          <w:rFonts w:ascii="宋体" w:hAnsi="宋体"/>
          <w:szCs w:val="21"/>
        </w:rPr>
      </w:pPr>
      <w:r>
        <w:rPr>
          <w:rFonts w:hint="eastAsia" w:ascii="宋体" w:hAnsi="宋体"/>
          <w:szCs w:val="21"/>
        </w:rPr>
        <w:t>1）投标人一旦参加投标，就意味着已承认招标文件中所有条款及要求，并受其约束。</w:t>
      </w:r>
    </w:p>
    <w:p>
      <w:pPr>
        <w:snapToGrid w:val="0"/>
        <w:spacing w:line="440" w:lineRule="exact"/>
        <w:ind w:firstLine="525" w:firstLineChars="250"/>
        <w:rPr>
          <w:rFonts w:ascii="宋体" w:hAnsi="宋体"/>
          <w:szCs w:val="21"/>
        </w:rPr>
      </w:pPr>
      <w:r>
        <w:rPr>
          <w:rFonts w:hint="eastAsia" w:ascii="宋体" w:hAnsi="宋体"/>
          <w:szCs w:val="21"/>
        </w:rPr>
        <w:t>2）在工程建设过程中发生一切安全及质量责任事故均由中标单位承担，并支付所发生的一切费用。</w:t>
      </w:r>
    </w:p>
    <w:p>
      <w:pPr>
        <w:snapToGrid w:val="0"/>
        <w:spacing w:line="440" w:lineRule="exact"/>
        <w:ind w:firstLine="525" w:firstLineChars="250"/>
        <w:rPr>
          <w:rFonts w:ascii="宋体" w:hAnsi="宋体"/>
          <w:szCs w:val="21"/>
        </w:rPr>
      </w:pPr>
      <w:r>
        <w:rPr>
          <w:rFonts w:hint="eastAsia" w:ascii="宋体" w:hAnsi="宋体"/>
          <w:szCs w:val="21"/>
        </w:rPr>
        <w:t>（9）投标人在投标报价时应综合考虑以下费用：</w:t>
      </w:r>
    </w:p>
    <w:p>
      <w:pPr>
        <w:snapToGrid w:val="0"/>
        <w:spacing w:line="440" w:lineRule="exact"/>
        <w:ind w:firstLine="525" w:firstLineChars="250"/>
        <w:rPr>
          <w:rFonts w:ascii="宋体" w:hAnsi="宋体"/>
          <w:szCs w:val="21"/>
        </w:rPr>
      </w:pPr>
      <w:r>
        <w:rPr>
          <w:rFonts w:hint="eastAsia" w:ascii="宋体" w:hAnsi="宋体"/>
          <w:szCs w:val="21"/>
        </w:rPr>
        <w:t>1）因招标文件及合同特殊要求而发生的费用；</w:t>
      </w:r>
    </w:p>
    <w:p>
      <w:pPr>
        <w:snapToGrid w:val="0"/>
        <w:spacing w:line="440" w:lineRule="exact"/>
        <w:ind w:firstLine="525" w:firstLineChars="250"/>
        <w:rPr>
          <w:rFonts w:ascii="宋体" w:hAnsi="宋体"/>
          <w:szCs w:val="21"/>
        </w:rPr>
      </w:pPr>
      <w:r>
        <w:rPr>
          <w:rFonts w:hint="eastAsia" w:ascii="宋体" w:hAnsi="宋体"/>
          <w:szCs w:val="21"/>
        </w:rPr>
        <w:t>2）工程量清单没有体现而施工中又必然发生的费用；</w:t>
      </w:r>
    </w:p>
    <w:p>
      <w:pPr>
        <w:snapToGrid w:val="0"/>
        <w:spacing w:line="440" w:lineRule="exact"/>
        <w:ind w:firstLine="525" w:firstLineChars="250"/>
        <w:rPr>
          <w:rFonts w:ascii="宋体" w:hAnsi="宋体"/>
          <w:szCs w:val="21"/>
        </w:rPr>
      </w:pPr>
      <w:r>
        <w:rPr>
          <w:rFonts w:hint="eastAsia" w:ascii="宋体" w:hAnsi="宋体"/>
          <w:szCs w:val="21"/>
        </w:rPr>
        <w:t>3）投标人投标报价时应充分考虑招标文件</w:t>
      </w:r>
      <w:r>
        <w:rPr>
          <w:rFonts w:ascii="宋体" w:hAnsi="宋体"/>
          <w:szCs w:val="21"/>
        </w:rPr>
        <w:t>/</w:t>
      </w:r>
      <w:r>
        <w:rPr>
          <w:rFonts w:hint="eastAsia" w:ascii="宋体" w:hAnsi="宋体"/>
          <w:szCs w:val="21"/>
        </w:rPr>
        <w:t>第四章 合同主要条款中相关约定；</w:t>
      </w:r>
    </w:p>
    <w:p>
      <w:pPr>
        <w:snapToGrid w:val="0"/>
        <w:spacing w:line="440" w:lineRule="exact"/>
        <w:ind w:firstLine="525" w:firstLineChars="250"/>
        <w:rPr>
          <w:rFonts w:ascii="宋体" w:hAnsi="宋体"/>
          <w:szCs w:val="21"/>
        </w:rPr>
      </w:pPr>
      <w:r>
        <w:rPr>
          <w:rFonts w:hint="eastAsia" w:ascii="宋体" w:hAnsi="宋体"/>
          <w:szCs w:val="21"/>
        </w:rPr>
        <w:t>4）施工过程中政府部门向承包人收取的相应费用和保证金等，以及政府部门要求的工地周边道路扬尘治理、环境卫生、城市美化等费用；</w:t>
      </w:r>
    </w:p>
    <w:p>
      <w:pPr>
        <w:snapToGrid w:val="0"/>
        <w:spacing w:line="440" w:lineRule="exact"/>
        <w:ind w:firstLine="525" w:firstLineChars="250"/>
        <w:rPr>
          <w:rFonts w:ascii="宋体" w:hAnsi="宋体"/>
          <w:szCs w:val="21"/>
        </w:rPr>
      </w:pPr>
      <w:r>
        <w:rPr>
          <w:rFonts w:hint="eastAsia" w:ascii="宋体" w:hAnsi="宋体"/>
          <w:szCs w:val="21"/>
        </w:rPr>
        <w:t>5）考虑合同明示和暗示的所有责任、义务及不可抗力以外的一切风险因素等所发生的所有费用；</w:t>
      </w:r>
    </w:p>
    <w:p>
      <w:pPr>
        <w:snapToGrid w:val="0"/>
        <w:spacing w:line="440" w:lineRule="exact"/>
        <w:ind w:firstLine="525" w:firstLineChars="250"/>
        <w:rPr>
          <w:rFonts w:ascii="宋体" w:hAnsi="宋体"/>
          <w:szCs w:val="21"/>
        </w:rPr>
      </w:pPr>
      <w:r>
        <w:rPr>
          <w:rFonts w:hint="eastAsia" w:ascii="宋体" w:hAnsi="宋体"/>
          <w:szCs w:val="21"/>
        </w:rPr>
        <w:t>6）投标单位应自行考虑临时停水、停电的应急预案，并在投标报价中综合考虑；</w:t>
      </w:r>
    </w:p>
    <w:p>
      <w:pPr>
        <w:snapToGrid w:val="0"/>
        <w:spacing w:line="440" w:lineRule="exact"/>
        <w:ind w:firstLine="527" w:firstLineChars="250"/>
        <w:rPr>
          <w:rFonts w:ascii="宋体" w:hAnsi="宋体"/>
          <w:b/>
          <w:bCs/>
          <w:szCs w:val="21"/>
        </w:rPr>
      </w:pPr>
      <w:r>
        <w:rPr>
          <w:rFonts w:hint="eastAsia" w:ascii="宋体" w:hAnsi="宋体"/>
          <w:b/>
          <w:bCs/>
          <w:szCs w:val="21"/>
        </w:rPr>
        <w:t>7）不允许投标单位采用不平衡报价，如发现非客观因素不平衡报价，招标人有权对其高报价部分予以调低价格</w:t>
      </w:r>
      <w:r>
        <w:rPr>
          <w:rFonts w:hint="eastAsia"/>
          <w:b/>
          <w:bCs/>
        </w:rPr>
        <w:t>，结算时按不利于投标人的方式结算</w:t>
      </w:r>
      <w:r>
        <w:rPr>
          <w:rFonts w:hint="eastAsia" w:ascii="宋体" w:hAnsi="宋体"/>
          <w:b/>
          <w:bCs/>
          <w:szCs w:val="21"/>
        </w:rPr>
        <w:t>。</w:t>
      </w:r>
    </w:p>
    <w:p>
      <w:pPr>
        <w:snapToGrid w:val="0"/>
        <w:spacing w:line="440" w:lineRule="exact"/>
        <w:ind w:firstLine="527" w:firstLineChars="250"/>
        <w:rPr>
          <w:rFonts w:ascii="宋体" w:hAnsi="宋体"/>
          <w:b/>
          <w:bCs/>
          <w:szCs w:val="21"/>
        </w:rPr>
      </w:pPr>
      <w:bookmarkStart w:id="152" w:name="_Toc483482275"/>
      <w:r>
        <w:rPr>
          <w:rFonts w:hint="eastAsia" w:ascii="宋体" w:hAnsi="宋体"/>
          <w:b/>
          <w:bCs/>
          <w:szCs w:val="21"/>
        </w:rPr>
        <w:t>1.2.4工程量清单报价格式：（详见最终发出的工程量清单及报价格式）</w:t>
      </w:r>
      <w:bookmarkEnd w:id="152"/>
    </w:p>
    <w:p>
      <w:pPr>
        <w:snapToGrid w:val="0"/>
        <w:spacing w:line="440" w:lineRule="exact"/>
        <w:ind w:firstLine="527" w:firstLineChars="250"/>
        <w:rPr>
          <w:rFonts w:ascii="宋体" w:hAnsi="宋体"/>
          <w:b/>
          <w:bCs/>
          <w:szCs w:val="21"/>
        </w:rPr>
      </w:pPr>
      <w:bookmarkStart w:id="153" w:name="_Toc483482276"/>
      <w:r>
        <w:rPr>
          <w:rFonts w:hint="eastAsia" w:ascii="宋体" w:hAnsi="宋体"/>
          <w:b/>
          <w:bCs/>
          <w:szCs w:val="21"/>
        </w:rPr>
        <w:t>1.2.5工程量清单报价须知：</w:t>
      </w:r>
      <w:bookmarkEnd w:id="153"/>
    </w:p>
    <w:p>
      <w:pPr>
        <w:snapToGrid w:val="0"/>
        <w:spacing w:line="440" w:lineRule="exact"/>
        <w:ind w:firstLine="525" w:firstLineChars="250"/>
        <w:rPr>
          <w:rFonts w:ascii="宋体" w:hAnsi="宋体"/>
          <w:szCs w:val="21"/>
        </w:rPr>
      </w:pPr>
      <w:r>
        <w:rPr>
          <w:rFonts w:hint="eastAsia" w:ascii="宋体" w:hAnsi="宋体"/>
          <w:szCs w:val="21"/>
        </w:rPr>
        <w:t>1）招标人对本次招标工程量清单准确性负责，工程量清单给各投标人价格竞争提供了统一的平台，投标人应按照守法、诚信、合理原则报价，并且承担报价的风险。本次招标投标人应特别注意：投标单位应依据山东省住房和城乡建设厅关于调整建设工程计价依据增值税税率的通知(鲁建标字〔2019〕10号文)、社会保障费按照鲁政办发〔2017〕57号执行。规费和税金为不可竞争费用，应计入投标报价中（规费取费标准详见最终发出的工程量清单；税金按“一般计税”法），工程价款结算执行财政部建设部关于印发《建设工程价款结算暂行办法》的通知</w:t>
      </w:r>
      <w:r>
        <w:rPr>
          <w:rFonts w:ascii="宋体" w:hAnsi="宋体"/>
          <w:szCs w:val="21"/>
        </w:rPr>
        <w:t>(</w:t>
      </w:r>
      <w:r>
        <w:rPr>
          <w:rFonts w:hint="eastAsia" w:ascii="宋体" w:hAnsi="宋体"/>
          <w:szCs w:val="21"/>
        </w:rPr>
        <w:t>财建</w:t>
      </w:r>
      <w:r>
        <w:rPr>
          <w:rFonts w:ascii="宋体" w:hAnsi="宋体"/>
          <w:szCs w:val="21"/>
        </w:rPr>
        <w:t>[2004]369</w:t>
      </w:r>
      <w:r>
        <w:rPr>
          <w:rFonts w:hint="eastAsia" w:ascii="宋体" w:hAnsi="宋体"/>
          <w:szCs w:val="21"/>
        </w:rPr>
        <w:t>号文件</w:t>
      </w:r>
      <w:r>
        <w:rPr>
          <w:rFonts w:ascii="宋体" w:hAnsi="宋体"/>
          <w:szCs w:val="21"/>
        </w:rPr>
        <w:t>)</w:t>
      </w:r>
      <w:r>
        <w:rPr>
          <w:rFonts w:hint="eastAsia" w:ascii="宋体" w:hAnsi="宋体"/>
          <w:szCs w:val="21"/>
        </w:rPr>
        <w:t>规定。</w:t>
      </w:r>
    </w:p>
    <w:p>
      <w:pPr>
        <w:tabs>
          <w:tab w:val="left" w:pos="2310"/>
        </w:tabs>
        <w:spacing w:line="440" w:lineRule="exact"/>
        <w:ind w:left="1" w:firstLine="413" w:firstLineChars="196"/>
        <w:rPr>
          <w:rFonts w:ascii="宋体" w:hAnsi="宋体" w:cs="TimesNewRomanPSMT"/>
          <w:b/>
          <w:szCs w:val="21"/>
          <w:u w:val="single"/>
        </w:rPr>
      </w:pPr>
      <w:r>
        <w:rPr>
          <w:rFonts w:hint="eastAsia" w:ascii="宋体" w:hAnsi="宋体" w:cs="TimesNewRomanPSMT"/>
          <w:b/>
          <w:szCs w:val="21"/>
          <w:u w:val="single"/>
        </w:rPr>
        <w:t>2）本项目无暂估价材料、设备。</w:t>
      </w:r>
    </w:p>
    <w:p>
      <w:pPr>
        <w:tabs>
          <w:tab w:val="left" w:pos="2310"/>
        </w:tabs>
        <w:spacing w:line="440" w:lineRule="exact"/>
        <w:ind w:left="1" w:firstLine="413" w:firstLineChars="196"/>
        <w:rPr>
          <w:rFonts w:ascii="宋体" w:hAnsi="宋体"/>
          <w:b/>
          <w:szCs w:val="21"/>
          <w:u w:val="single"/>
        </w:rPr>
      </w:pPr>
      <w:r>
        <w:rPr>
          <w:rFonts w:hint="eastAsia" w:ascii="宋体" w:hAnsi="宋体" w:cs="TimesNewRomanPSMT"/>
          <w:b/>
          <w:szCs w:val="21"/>
          <w:u w:val="single"/>
        </w:rPr>
        <w:t>3）投标人自购</w:t>
      </w:r>
      <w:r>
        <w:rPr>
          <w:rFonts w:hint="eastAsia" w:ascii="宋体" w:hAnsi="宋体"/>
          <w:b/>
          <w:szCs w:val="21"/>
          <w:u w:val="single"/>
        </w:rPr>
        <w:t>工程设备费计入设备费，不计入清单综合单价（材料和设备划分标准执行《建筑工程计价设备材料划分标准》GB/T50531-2009）。</w:t>
      </w:r>
    </w:p>
    <w:p>
      <w:pPr>
        <w:snapToGrid w:val="0"/>
        <w:spacing w:line="440" w:lineRule="exact"/>
        <w:ind w:firstLine="420" w:firstLineChars="200"/>
        <w:rPr>
          <w:rFonts w:ascii="宋体" w:hAnsi="宋体"/>
          <w:b/>
          <w:szCs w:val="28"/>
          <w:u w:val="single"/>
        </w:rPr>
      </w:pPr>
      <w:r>
        <w:rPr>
          <w:rFonts w:hint="eastAsia" w:ascii="宋体" w:hAnsi="宋体"/>
          <w:bCs/>
          <w:szCs w:val="21"/>
        </w:rPr>
        <w:t>4）</w:t>
      </w:r>
      <w:r>
        <w:rPr>
          <w:rFonts w:hint="eastAsia" w:ascii="宋体" w:hAnsi="宋体"/>
          <w:bCs/>
          <w:szCs w:val="28"/>
        </w:rPr>
        <w:t>按照2016版《山东省建设工程费用项目组成及计算规则》规定，</w:t>
      </w:r>
      <w:r>
        <w:rPr>
          <w:rFonts w:hint="eastAsia" w:ascii="宋体" w:hAnsi="宋体"/>
          <w:b/>
          <w:szCs w:val="28"/>
          <w:u w:val="single"/>
        </w:rPr>
        <w:t>专业工程暂估价仅作为计取总包管理费的基数，不计入投标总报价。</w:t>
      </w:r>
    </w:p>
    <w:p>
      <w:pPr>
        <w:tabs>
          <w:tab w:val="left" w:pos="2310"/>
        </w:tabs>
        <w:spacing w:line="440" w:lineRule="exact"/>
        <w:ind w:left="1" w:firstLine="422" w:firstLineChars="200"/>
        <w:rPr>
          <w:rFonts w:ascii="宋体" w:hAnsi="宋体" w:cs="TimesNewRomanPSMT"/>
          <w:b/>
          <w:color w:val="FF0000"/>
          <w:szCs w:val="21"/>
          <w:u w:val="single"/>
        </w:rPr>
      </w:pPr>
      <w:r>
        <w:rPr>
          <w:rFonts w:hint="eastAsia" w:ascii="宋体" w:hAnsi="宋体" w:cs="TimesNewRomanPSMT"/>
          <w:b/>
          <w:szCs w:val="21"/>
        </w:rPr>
        <w:t>5）</w:t>
      </w:r>
      <w:r>
        <w:rPr>
          <w:rFonts w:hint="eastAsia" w:ascii="宋体" w:hAnsi="宋体" w:cs="TimesNewRomanPSMT"/>
          <w:bCs/>
          <w:szCs w:val="21"/>
        </w:rPr>
        <w:t>本工程无暂列金。</w:t>
      </w:r>
    </w:p>
    <w:p>
      <w:pPr>
        <w:snapToGrid w:val="0"/>
        <w:spacing w:line="440" w:lineRule="exact"/>
        <w:ind w:firstLine="420" w:firstLineChars="200"/>
        <w:rPr>
          <w:rFonts w:ascii="宋体" w:hAnsi="宋体"/>
          <w:b/>
          <w:szCs w:val="21"/>
        </w:rPr>
      </w:pPr>
      <w:r>
        <w:rPr>
          <w:rFonts w:hint="eastAsia" w:ascii="宋体" w:hAnsi="宋体"/>
          <w:bCs/>
          <w:szCs w:val="21"/>
        </w:rPr>
        <w:t>6）税金</w:t>
      </w:r>
      <w:r>
        <w:rPr>
          <w:rFonts w:hint="eastAsia" w:ascii="宋体" w:hAnsi="宋体"/>
          <w:bCs/>
        </w:rPr>
        <w:t>：本工程增值税税率为</w:t>
      </w:r>
      <w:r>
        <w:rPr>
          <w:rFonts w:ascii="宋体" w:hAnsi="宋体"/>
          <w:bCs/>
        </w:rPr>
        <w:t>9</w:t>
      </w:r>
      <w:r>
        <w:rPr>
          <w:rFonts w:hint="eastAsia" w:ascii="宋体" w:hAnsi="宋体"/>
          <w:bCs/>
        </w:rPr>
        <w:t>%</w:t>
      </w:r>
      <w:r>
        <w:rPr>
          <w:rFonts w:hint="eastAsia" w:ascii="宋体" w:hAnsi="宋体"/>
          <w:bCs/>
          <w:szCs w:val="21"/>
        </w:rPr>
        <w:t>。</w:t>
      </w:r>
      <w:r>
        <w:rPr>
          <w:rFonts w:hint="eastAsia" w:ascii="宋体" w:hAnsi="宋体" w:cs="TimesNewRomanPSMT"/>
          <w:b/>
          <w:szCs w:val="21"/>
        </w:rPr>
        <w:t xml:space="preserve"> </w:t>
      </w:r>
    </w:p>
    <w:p>
      <w:pPr>
        <w:pStyle w:val="7"/>
        <w:rPr>
          <w:rFonts w:ascii="宋体" w:hAnsi="宋体" w:cs="TimesNewRomanPSMT"/>
          <w:bCs w:val="0"/>
          <w:i/>
          <w:iCs/>
          <w:sz w:val="24"/>
          <w:szCs w:val="24"/>
        </w:rPr>
      </w:pPr>
      <w:bookmarkStart w:id="154" w:name="_Toc5747"/>
      <w:bookmarkStart w:id="155" w:name="_Toc21712"/>
      <w:bookmarkStart w:id="156" w:name="_Toc211261922"/>
      <w:bookmarkStart w:id="157" w:name="_Toc11051"/>
      <w:bookmarkStart w:id="158" w:name="_Toc15878"/>
      <w:bookmarkStart w:id="159" w:name="_Toc16763"/>
      <w:bookmarkStart w:id="160" w:name="_Toc15995"/>
      <w:bookmarkStart w:id="161" w:name="_Toc7120"/>
      <w:bookmarkStart w:id="162" w:name="_Toc11150"/>
      <w:bookmarkStart w:id="163" w:name="_Toc28390"/>
      <w:bookmarkStart w:id="164" w:name="_Toc357"/>
      <w:bookmarkStart w:id="165" w:name="_Toc483482277"/>
      <w:r>
        <w:rPr>
          <w:rFonts w:hint="eastAsia" w:ascii="宋体" w:hAnsi="宋体" w:cs="TimesNewRomanPSMT"/>
          <w:bCs w:val="0"/>
          <w:sz w:val="24"/>
          <w:szCs w:val="24"/>
        </w:rPr>
        <w:t>2 清单以外项目</w:t>
      </w:r>
      <w:bookmarkEnd w:id="154"/>
      <w:bookmarkEnd w:id="155"/>
      <w:bookmarkEnd w:id="156"/>
      <w:bookmarkEnd w:id="157"/>
      <w:bookmarkEnd w:id="158"/>
      <w:bookmarkEnd w:id="159"/>
      <w:bookmarkEnd w:id="160"/>
      <w:bookmarkEnd w:id="161"/>
      <w:bookmarkEnd w:id="162"/>
      <w:bookmarkEnd w:id="163"/>
      <w:bookmarkEnd w:id="164"/>
    </w:p>
    <w:p>
      <w:pPr>
        <w:tabs>
          <w:tab w:val="left" w:pos="2310"/>
        </w:tabs>
        <w:spacing w:line="440" w:lineRule="exact"/>
        <w:ind w:left="1" w:firstLine="420" w:firstLineChars="200"/>
        <w:rPr>
          <w:rFonts w:ascii="宋体" w:hAnsi="宋体" w:cs="TimesNewRomanPSMT"/>
          <w:bCs/>
          <w:szCs w:val="21"/>
        </w:rPr>
      </w:pPr>
      <w:r>
        <w:rPr>
          <w:rFonts w:hint="eastAsia" w:ascii="宋体" w:hAnsi="宋体" w:cs="TimesNewRomanPSMT"/>
          <w:bCs/>
          <w:szCs w:val="21"/>
        </w:rPr>
        <w:t>清单以外项目是指结算时不适用合同专用条款10.4.1《变更估价》（1）、（2）进行结算的项目。</w:t>
      </w:r>
    </w:p>
    <w:p>
      <w:pPr>
        <w:snapToGrid w:val="0"/>
        <w:spacing w:line="440" w:lineRule="exact"/>
        <w:ind w:firstLine="525" w:firstLineChars="250"/>
        <w:rPr>
          <w:rFonts w:ascii="宋体" w:hAnsi="宋体" w:cs="TimesNewRomanPSMT"/>
          <w:bCs/>
        </w:rPr>
      </w:pPr>
      <w:r>
        <w:rPr>
          <w:rFonts w:hint="eastAsia" w:ascii="宋体" w:hAnsi="宋体" w:cs="TimesNewRomanPSMT"/>
          <w:bCs/>
        </w:rPr>
        <w:t>2.1计价依据：</w:t>
      </w:r>
    </w:p>
    <w:p>
      <w:pPr>
        <w:snapToGrid w:val="0"/>
        <w:spacing w:line="440" w:lineRule="exact"/>
        <w:ind w:firstLine="420" w:firstLineChars="20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1 \* GB3 \* MERGEFORMAT </w:instrText>
      </w:r>
      <w:r>
        <w:rPr>
          <w:rFonts w:hint="eastAsia" w:ascii="宋体" w:hAnsi="宋体" w:cs="TimesNewRomanPSMT"/>
          <w:bCs/>
        </w:rPr>
        <w:fldChar w:fldCharType="separate"/>
      </w:r>
      <w:r>
        <w:rPr>
          <w:rFonts w:hint="eastAsia" w:ascii="宋体" w:hAnsi="宋体" w:cs="TimesNewRomanPSMT"/>
          <w:bCs/>
        </w:rPr>
        <w:t>①</w:t>
      </w:r>
      <w:r>
        <w:rPr>
          <w:rFonts w:hint="eastAsia" w:ascii="宋体" w:hAnsi="宋体" w:cs="TimesNewRomanPSMT"/>
          <w:bCs/>
        </w:rPr>
        <w:fldChar w:fldCharType="end"/>
      </w:r>
      <w:r>
        <w:rPr>
          <w:rFonts w:hint="eastAsia" w:ascii="宋体" w:hAnsi="宋体" w:cs="TimesNewRomanPSMT"/>
          <w:bCs/>
        </w:rPr>
        <w:t>计价依据：2016版《山东省建筑工程消耗量定额》、2016版《山东省安装工程消耗量定额》、2016版《山东省市政工程消耗量定额》、2016版《山东省园林绿化工程消耗量定额》、2020版《山东省房屋修缮工程消耗量定额》及其补充定额，2021版价目表；</w:t>
      </w:r>
    </w:p>
    <w:p>
      <w:pPr>
        <w:snapToGrid w:val="0"/>
        <w:spacing w:line="440" w:lineRule="exact"/>
        <w:ind w:firstLine="525" w:firstLineChars="25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2 \* GB3 \* MERGEFORMAT </w:instrText>
      </w:r>
      <w:r>
        <w:rPr>
          <w:rFonts w:hint="eastAsia" w:ascii="宋体" w:hAnsi="宋体" w:cs="TimesNewRomanPSMT"/>
          <w:bCs/>
        </w:rPr>
        <w:fldChar w:fldCharType="separate"/>
      </w:r>
      <w:r>
        <w:rPr>
          <w:rFonts w:hint="eastAsia" w:ascii="宋体" w:hAnsi="宋体" w:cs="TimesNewRomanPSMT"/>
          <w:bCs/>
        </w:rPr>
        <w:t>②</w:t>
      </w:r>
      <w:r>
        <w:rPr>
          <w:rFonts w:hint="eastAsia" w:ascii="宋体" w:hAnsi="宋体" w:cs="TimesNewRomanPSMT"/>
          <w:bCs/>
        </w:rPr>
        <w:fldChar w:fldCharType="end"/>
      </w:r>
      <w:r>
        <w:rPr>
          <w:rFonts w:hint="eastAsia" w:ascii="宋体" w:hAnsi="宋体" w:cs="TimesNewRomanPSMT"/>
          <w:bCs/>
        </w:rPr>
        <w:t>工程类别：建筑执行Ⅲ类取费，安装执行工业安装取费，装饰执行Ⅲ类取费，市政执行Ⅲ类取费；</w:t>
      </w:r>
    </w:p>
    <w:p>
      <w:pPr>
        <w:snapToGrid w:val="0"/>
        <w:spacing w:line="440" w:lineRule="exact"/>
        <w:ind w:firstLine="525" w:firstLineChars="250"/>
        <w:rPr>
          <w:rFonts w:ascii="宋体" w:hAnsi="宋体" w:cs="TimesNewRomanPSMT"/>
          <w:bCs/>
        </w:rPr>
      </w:pPr>
      <w:r>
        <w:rPr>
          <w:rFonts w:hint="eastAsia" w:ascii="宋体" w:hAnsi="宋体" w:cs="TimesNewRomanPSMT"/>
          <w:bCs/>
        </w:rPr>
        <w:fldChar w:fldCharType="begin"/>
      </w:r>
      <w:r>
        <w:rPr>
          <w:rFonts w:hint="eastAsia" w:ascii="宋体" w:hAnsi="宋体" w:cs="TimesNewRomanPSMT"/>
          <w:bCs/>
        </w:rPr>
        <w:instrText xml:space="preserve"> = 3 \* GB3 \* MERGEFORMAT </w:instrText>
      </w:r>
      <w:r>
        <w:rPr>
          <w:rFonts w:hint="eastAsia" w:ascii="宋体" w:hAnsi="宋体" w:cs="TimesNewRomanPSMT"/>
          <w:bCs/>
        </w:rPr>
        <w:fldChar w:fldCharType="separate"/>
      </w:r>
      <w:r>
        <w:rPr>
          <w:rFonts w:hint="eastAsia" w:ascii="宋体" w:hAnsi="宋体" w:cs="TimesNewRomanPSMT"/>
          <w:bCs/>
        </w:rPr>
        <w:t>③</w:t>
      </w:r>
      <w:r>
        <w:rPr>
          <w:rFonts w:hint="eastAsia" w:ascii="宋体" w:hAnsi="宋体" w:cs="TimesNewRomanPSMT"/>
          <w:bCs/>
        </w:rPr>
        <w:fldChar w:fldCharType="end"/>
      </w:r>
      <w:r>
        <w:rPr>
          <w:rFonts w:hint="eastAsia" w:ascii="宋体" w:hAnsi="宋体" w:cs="TimesNewRomanPSMT"/>
          <w:bCs/>
        </w:rPr>
        <w:t>人工费建筑工程128元/工日，装饰工程138元/工日，安装工程138元/工日，市政工程117元/工日，园林绿化工程117元/工日；《山东省建设工程施工机械台班费用编制规则》（鲁建标字〔2016〕39号）中的人工单价调整为130元/工日；材料费投标文件中已有价格的材料执行中标价格，投标文件中没有价格的主要材料按照监理方、发包人书面确定的价格执行，其中清单已有价格的材料（如电线电缆、管材、雨水斗等），材质不变仅规格型号发生变更的，变更后仅调整不同规格型号的材料市场价差；</w:t>
      </w:r>
    </w:p>
    <w:p>
      <w:pPr>
        <w:snapToGrid w:val="0"/>
        <w:spacing w:line="440" w:lineRule="exact"/>
        <w:ind w:firstLine="527" w:firstLineChars="250"/>
        <w:rPr>
          <w:rFonts w:ascii="宋体" w:hAnsi="宋体" w:cs="TimesNewRomanPSMT"/>
          <w:b/>
          <w:i/>
          <w:iCs/>
          <w:color w:val="FF0000"/>
          <w:u w:val="single"/>
        </w:rPr>
      </w:pPr>
      <w:r>
        <w:rPr>
          <w:rFonts w:hint="eastAsia" w:ascii="宋体" w:hAnsi="宋体" w:cs="TimesNewRomanPSMT"/>
          <w:b/>
        </w:rPr>
        <w:fldChar w:fldCharType="begin"/>
      </w:r>
      <w:r>
        <w:rPr>
          <w:rFonts w:hint="eastAsia" w:ascii="宋体" w:hAnsi="宋体" w:cs="TimesNewRomanPSMT"/>
          <w:b/>
        </w:rPr>
        <w:instrText xml:space="preserve"> = 4 \* GB3 \* MERGEFORMAT </w:instrText>
      </w:r>
      <w:r>
        <w:rPr>
          <w:rFonts w:hint="eastAsia" w:ascii="宋体" w:hAnsi="宋体" w:cs="TimesNewRomanPSMT"/>
          <w:b/>
        </w:rPr>
        <w:fldChar w:fldCharType="separate"/>
      </w:r>
      <w:r>
        <w:rPr>
          <w:rFonts w:hint="eastAsia" w:ascii="宋体" w:hAnsi="宋体" w:cs="TimesNewRomanPSMT"/>
          <w:b/>
        </w:rPr>
        <w:t>④</w:t>
      </w:r>
      <w:r>
        <w:rPr>
          <w:rFonts w:hint="eastAsia" w:ascii="宋体" w:hAnsi="宋体" w:cs="TimesNewRomanPSMT"/>
          <w:b/>
        </w:rPr>
        <w:fldChar w:fldCharType="end"/>
      </w:r>
      <w:r>
        <w:rPr>
          <w:rFonts w:hint="eastAsia" w:ascii="宋体" w:hAnsi="宋体" w:cs="TimesNewRomanPSMT"/>
          <w:b/>
        </w:rPr>
        <w:t>承包人按上述原则就清单外工作内容按总造价统一让利</w:t>
      </w:r>
      <w:r>
        <w:rPr>
          <w:rFonts w:hint="eastAsia" w:ascii="宋体" w:hAnsi="宋体" w:cs="TimesNewRomanPSMT"/>
          <w:b/>
          <w:u w:val="single"/>
        </w:rPr>
        <w:t xml:space="preserve"> </w:t>
      </w:r>
      <w:r>
        <w:rPr>
          <w:rFonts w:ascii="宋体" w:hAnsi="宋体" w:cs="TimesNewRomanPSMT"/>
          <w:b/>
          <w:u w:val="single"/>
        </w:rPr>
        <w:t>5</w:t>
      </w:r>
      <w:r>
        <w:rPr>
          <w:rFonts w:hint="eastAsia" w:ascii="宋体" w:hAnsi="宋体" w:cs="TimesNewRomanPSMT"/>
          <w:b/>
          <w:u w:val="single"/>
        </w:rPr>
        <w:t xml:space="preserve"> </w:t>
      </w:r>
      <w:r>
        <w:rPr>
          <w:rFonts w:hint="eastAsia" w:ascii="宋体" w:hAnsi="宋体" w:cs="TimesNewRomanPSMT"/>
          <w:b/>
        </w:rPr>
        <w:t>%。</w:t>
      </w:r>
      <w:bookmarkStart w:id="166" w:name="_Hlk185326353"/>
    </w:p>
    <w:bookmarkEnd w:id="166"/>
    <w:p>
      <w:pPr>
        <w:snapToGrid w:val="0"/>
        <w:spacing w:line="440" w:lineRule="exact"/>
        <w:ind w:firstLine="420" w:firstLineChars="200"/>
        <w:rPr>
          <w:bCs/>
        </w:rPr>
      </w:pPr>
      <w:r>
        <w:rPr>
          <w:rFonts w:hint="eastAsia" w:ascii="宋体" w:hAnsi="宋体" w:cs="TimesNewRomanPSMT"/>
          <w:bCs/>
        </w:rPr>
        <w:t>（但经招标人审核签认的计入设备费的设备价格不参与让利。）</w:t>
      </w:r>
    </w:p>
    <w:p>
      <w:pPr>
        <w:snapToGrid w:val="0"/>
        <w:spacing w:line="440" w:lineRule="exact"/>
        <w:ind w:firstLine="525" w:firstLineChars="250"/>
        <w:rPr>
          <w:rFonts w:ascii="宋体" w:hAnsi="宋体"/>
        </w:rPr>
      </w:pPr>
      <w:r>
        <w:rPr>
          <w:rFonts w:hint="eastAsia" w:ascii="宋体" w:hAnsi="宋体"/>
        </w:rPr>
        <w:t>2.2补充说明</w:t>
      </w:r>
    </w:p>
    <w:p>
      <w:pPr>
        <w:snapToGrid w:val="0"/>
        <w:spacing w:line="440" w:lineRule="exact"/>
        <w:ind w:firstLine="525" w:firstLineChars="250"/>
        <w:rPr>
          <w:rFonts w:ascii="宋体" w:hAnsi="宋体"/>
        </w:rPr>
      </w:pPr>
      <w:r>
        <w:rPr>
          <w:rFonts w:hint="eastAsia" w:ascii="宋体" w:hAnsi="宋体"/>
        </w:rPr>
        <w:t>2.2.1本工程的投标报价应是投标须知所确定工程招标范围内完成全部工作所需的费用。其中包括施工设备、劳务、管理、材料、运输、试验、完工、维护、利润、保险、税金及政策性文件规定等各项应有费用，及中标人作为本工程项目的总承包人，配合招标方办理建设手续消防验收、环评验收等相关费用（包括但不限于公证费等）。</w:t>
      </w:r>
    </w:p>
    <w:p>
      <w:pPr>
        <w:snapToGrid w:val="0"/>
        <w:spacing w:line="440" w:lineRule="exact"/>
        <w:ind w:firstLine="525" w:firstLineChars="250"/>
        <w:rPr>
          <w:rFonts w:ascii="宋体" w:hAnsi="宋体"/>
        </w:rPr>
      </w:pPr>
      <w:r>
        <w:rPr>
          <w:rFonts w:hint="eastAsia" w:ascii="宋体" w:hAnsi="宋体"/>
        </w:rPr>
        <w:t>2.2.2投标人应到工地踏勘以充分了解工地位置、情况、道路、储存空间、装卸限制及任何其他足以影响结算系数的情况，应充分考虑招标项目内容、施工特点以及市场变化、政策性调整、风险等所有因素，结合自身综合实力对项目建设进行竞争，任何忽视或误解工地情况而导致的索赔或工期延长申请将不被批准。</w:t>
      </w:r>
    </w:p>
    <w:p>
      <w:pPr>
        <w:snapToGrid w:val="0"/>
        <w:spacing w:line="440" w:lineRule="exact"/>
        <w:ind w:firstLine="527" w:firstLineChars="250"/>
        <w:rPr>
          <w:rFonts w:ascii="宋体" w:hAnsi="宋体" w:cs="TimesNewRomanPSMT"/>
          <w:b/>
          <w:bCs/>
          <w:i/>
          <w:iCs/>
          <w:color w:val="FF0000"/>
          <w:u w:val="single"/>
        </w:rPr>
      </w:pPr>
      <w:r>
        <w:rPr>
          <w:rFonts w:hint="eastAsia" w:ascii="宋体" w:hAnsi="宋体"/>
          <w:b/>
          <w:bCs/>
        </w:rPr>
        <w:t>2.2.3计日工</w:t>
      </w:r>
      <w:r>
        <w:rPr>
          <w:rFonts w:hint="eastAsia" w:ascii="宋体" w:hAnsi="宋体"/>
          <w:b/>
          <w:bCs/>
          <w:u w:val="single"/>
        </w:rPr>
        <w:t xml:space="preserve"> </w:t>
      </w:r>
      <w:r>
        <w:rPr>
          <w:rFonts w:ascii="宋体" w:hAnsi="宋体"/>
          <w:b/>
          <w:bCs/>
          <w:u w:val="single"/>
        </w:rPr>
        <w:t>220</w:t>
      </w:r>
      <w:r>
        <w:rPr>
          <w:rFonts w:hint="eastAsia" w:ascii="宋体" w:hAnsi="宋体"/>
          <w:b/>
          <w:bCs/>
          <w:u w:val="single"/>
        </w:rPr>
        <w:t xml:space="preserve"> </w:t>
      </w:r>
      <w:r>
        <w:rPr>
          <w:rFonts w:hint="eastAsia" w:ascii="宋体" w:hAnsi="宋体"/>
          <w:b/>
          <w:bCs/>
        </w:rPr>
        <w:t>元/工日。</w:t>
      </w:r>
      <w:r>
        <w:rPr>
          <w:rFonts w:hint="eastAsia" w:ascii="宋体" w:hAnsi="宋体" w:cs="TimesNewRomanPSMT"/>
          <w:b/>
          <w:bCs/>
        </w:rPr>
        <w:t>（全费用）</w:t>
      </w:r>
    </w:p>
    <w:bookmarkEnd w:id="165"/>
    <w:p>
      <w:pPr>
        <w:pStyle w:val="7"/>
        <w:rPr>
          <w:rFonts w:ascii="宋体" w:hAnsi="宋体" w:cs="TimesNewRomanPSMT"/>
          <w:bCs w:val="0"/>
          <w:i/>
          <w:iCs/>
          <w:sz w:val="24"/>
          <w:szCs w:val="24"/>
        </w:rPr>
      </w:pPr>
      <w:bookmarkStart w:id="167" w:name="_Toc211261923"/>
      <w:r>
        <w:rPr>
          <w:rFonts w:hint="eastAsia" w:ascii="宋体" w:hAnsi="宋体" w:cs="TimesNewRomanPSMT"/>
          <w:bCs w:val="0"/>
          <w:sz w:val="24"/>
          <w:szCs w:val="24"/>
        </w:rPr>
        <w:t>3 其他说明</w:t>
      </w:r>
      <w:bookmarkEnd w:id="149"/>
      <w:bookmarkEnd w:id="150"/>
      <w:bookmarkEnd w:id="167"/>
    </w:p>
    <w:p>
      <w:pPr>
        <w:snapToGrid w:val="0"/>
        <w:spacing w:line="440" w:lineRule="exact"/>
        <w:ind w:firstLine="527" w:firstLineChars="250"/>
        <w:rPr>
          <w:rFonts w:ascii="宋体" w:hAnsi="宋体" w:cs="TimesNewRomanPSMT"/>
          <w:b/>
        </w:rPr>
      </w:pPr>
      <w:r>
        <w:rPr>
          <w:rFonts w:hint="eastAsia" w:ascii="宋体" w:hAnsi="宋体" w:cs="TimesNewRomanPSMT"/>
          <w:b/>
        </w:rPr>
        <w:t>3.1词语和定义</w:t>
      </w:r>
    </w:p>
    <w:p>
      <w:pPr>
        <w:snapToGrid w:val="0"/>
        <w:spacing w:line="440" w:lineRule="exact"/>
        <w:ind w:firstLine="525" w:firstLineChars="250"/>
        <w:rPr>
          <w:rFonts w:ascii="宋体" w:hAnsi="宋体"/>
        </w:rPr>
      </w:pPr>
      <w:r>
        <w:rPr>
          <w:rFonts w:hint="eastAsia" w:ascii="宋体" w:hAnsi="宋体"/>
        </w:rPr>
        <w:t>3.1.1  工程量清单</w:t>
      </w:r>
    </w:p>
    <w:p>
      <w:pPr>
        <w:snapToGrid w:val="0"/>
        <w:spacing w:line="440" w:lineRule="exact"/>
        <w:ind w:firstLine="525" w:firstLineChars="250"/>
        <w:rPr>
          <w:rFonts w:ascii="宋体" w:hAnsi="宋体"/>
          <w:szCs w:val="21"/>
        </w:rPr>
      </w:pPr>
      <w:r>
        <w:rPr>
          <w:rFonts w:hint="eastAsia" w:ascii="宋体" w:hAnsi="宋体"/>
        </w:rPr>
        <w:t>是表现本工程分部分项工</w:t>
      </w:r>
      <w:r>
        <w:rPr>
          <w:rFonts w:hint="eastAsia" w:ascii="宋体" w:hAnsi="宋体"/>
          <w:szCs w:val="21"/>
        </w:rPr>
        <w:t>程项目、措施项目、其他项目、规费项目和税金的名称和相应数量等的明细清单。</w:t>
      </w:r>
    </w:p>
    <w:p>
      <w:pPr>
        <w:snapToGrid w:val="0"/>
        <w:spacing w:line="440" w:lineRule="exact"/>
        <w:ind w:firstLine="525" w:firstLineChars="250"/>
        <w:rPr>
          <w:rFonts w:ascii="宋体" w:hAnsi="宋体"/>
          <w:szCs w:val="21"/>
        </w:rPr>
      </w:pPr>
      <w:r>
        <w:rPr>
          <w:rFonts w:hint="eastAsia" w:ascii="宋体" w:hAnsi="宋体"/>
          <w:szCs w:val="21"/>
        </w:rPr>
        <w:t>3.1.2  总价子目</w:t>
      </w:r>
    </w:p>
    <w:p>
      <w:pPr>
        <w:snapToGrid w:val="0"/>
        <w:spacing w:line="440" w:lineRule="exact"/>
        <w:ind w:firstLine="525" w:firstLineChars="250"/>
        <w:rPr>
          <w:rFonts w:ascii="宋体" w:hAnsi="宋体"/>
          <w:szCs w:val="21"/>
        </w:rPr>
      </w:pPr>
      <w:r>
        <w:rPr>
          <w:rFonts w:hint="eastAsia" w:ascii="宋体" w:hAnsi="宋体"/>
          <w:szCs w:val="21"/>
        </w:rPr>
        <w:t>工程量清单中以总价计价，以“项”为计量单位，工程量为整数1的子目，除专用合同条款另有约定外，总价固定包干。采用总价合同形式时，合同订立后，已标价工程量清单中的工程量均没有合同约束力，所有子目均是总价子目，视同按项计量(合同条款约定的变更除外)。</w:t>
      </w:r>
    </w:p>
    <w:p>
      <w:pPr>
        <w:snapToGrid w:val="0"/>
        <w:spacing w:line="440" w:lineRule="exact"/>
        <w:ind w:firstLine="525" w:firstLineChars="250"/>
        <w:rPr>
          <w:rFonts w:ascii="宋体" w:hAnsi="宋体"/>
          <w:szCs w:val="21"/>
        </w:rPr>
      </w:pPr>
      <w:r>
        <w:rPr>
          <w:rFonts w:hint="eastAsia" w:ascii="宋体" w:hAnsi="宋体"/>
          <w:szCs w:val="21"/>
        </w:rPr>
        <w:t>3.1.3  单价子目</w:t>
      </w:r>
    </w:p>
    <w:p>
      <w:pPr>
        <w:snapToGrid w:val="0"/>
        <w:spacing w:line="440" w:lineRule="exact"/>
        <w:ind w:firstLine="525" w:firstLineChars="250"/>
        <w:rPr>
          <w:rFonts w:ascii="宋体" w:hAnsi="宋体"/>
          <w:szCs w:val="21"/>
        </w:rPr>
      </w:pPr>
      <w:r>
        <w:rPr>
          <w:rFonts w:hint="eastAsia" w:ascii="宋体" w:hAnsi="宋体"/>
          <w:szCs w:val="21"/>
        </w:rPr>
        <w:t>工程量清单中以单价计价，根据有合同约束力的图纸和工程量计算规则进行计量，以实际完成数量乘以相应单价进行结算的子目。</w:t>
      </w:r>
    </w:p>
    <w:p>
      <w:pPr>
        <w:snapToGrid w:val="0"/>
        <w:spacing w:line="440" w:lineRule="exact"/>
        <w:ind w:firstLine="525" w:firstLineChars="250"/>
        <w:rPr>
          <w:rFonts w:ascii="宋体" w:hAnsi="宋体"/>
          <w:szCs w:val="21"/>
        </w:rPr>
      </w:pPr>
      <w:r>
        <w:rPr>
          <w:rFonts w:hint="eastAsia" w:ascii="宋体" w:hAnsi="宋体"/>
          <w:szCs w:val="21"/>
        </w:rPr>
        <w:t>3.1.4  子目编码</w:t>
      </w:r>
    </w:p>
    <w:p>
      <w:pPr>
        <w:snapToGrid w:val="0"/>
        <w:spacing w:line="440" w:lineRule="exact"/>
        <w:ind w:firstLine="525" w:firstLineChars="250"/>
        <w:rPr>
          <w:rFonts w:ascii="宋体" w:hAnsi="宋体"/>
          <w:szCs w:val="21"/>
        </w:rPr>
      </w:pPr>
      <w:r>
        <w:rPr>
          <w:rFonts w:hint="eastAsia" w:ascii="宋体" w:hAnsi="宋体"/>
          <w:szCs w:val="21"/>
        </w:rPr>
        <w:t>分部分项工程项目清单中所列的子目名称的数字标识和代码，子目编码与项目编码同义。</w:t>
      </w:r>
    </w:p>
    <w:p>
      <w:pPr>
        <w:snapToGrid w:val="0"/>
        <w:spacing w:line="440" w:lineRule="exact"/>
        <w:ind w:firstLine="525" w:firstLineChars="250"/>
        <w:rPr>
          <w:rFonts w:ascii="宋体" w:hAnsi="宋体"/>
          <w:szCs w:val="21"/>
        </w:rPr>
      </w:pPr>
      <w:r>
        <w:rPr>
          <w:rFonts w:hint="eastAsia" w:ascii="宋体" w:hAnsi="宋体"/>
          <w:szCs w:val="21"/>
        </w:rPr>
        <w:t>3.1.5  子目特征</w:t>
      </w:r>
    </w:p>
    <w:p>
      <w:pPr>
        <w:snapToGrid w:val="0"/>
        <w:spacing w:line="440" w:lineRule="exact"/>
        <w:ind w:firstLine="525" w:firstLineChars="250"/>
        <w:rPr>
          <w:rFonts w:ascii="宋体" w:hAnsi="宋体"/>
          <w:szCs w:val="21"/>
        </w:rPr>
      </w:pPr>
      <w:r>
        <w:rPr>
          <w:rFonts w:hint="eastAsia" w:ascii="宋体" w:hAnsi="宋体"/>
          <w:szCs w:val="21"/>
        </w:rPr>
        <w:t>构成分部分项工程项目清单子目、措施项目的实质内容、决定其自身价值的本质特征，子目特征与项目特征同义。</w:t>
      </w:r>
    </w:p>
    <w:p>
      <w:pPr>
        <w:snapToGrid w:val="0"/>
        <w:spacing w:line="440" w:lineRule="exact"/>
        <w:ind w:firstLine="525" w:firstLineChars="250"/>
        <w:rPr>
          <w:rFonts w:ascii="宋体" w:hAnsi="宋体"/>
          <w:szCs w:val="21"/>
        </w:rPr>
      </w:pPr>
      <w:r>
        <w:rPr>
          <w:rFonts w:hint="eastAsia" w:ascii="宋体" w:hAnsi="宋体"/>
          <w:szCs w:val="21"/>
        </w:rPr>
        <w:t>3.1.6  规费</w:t>
      </w:r>
    </w:p>
    <w:p>
      <w:pPr>
        <w:snapToGrid w:val="0"/>
        <w:spacing w:line="440" w:lineRule="exact"/>
        <w:ind w:firstLine="525" w:firstLineChars="250"/>
        <w:rPr>
          <w:rFonts w:ascii="宋体" w:hAnsi="宋体"/>
          <w:szCs w:val="21"/>
        </w:rPr>
      </w:pPr>
      <w:r>
        <w:rPr>
          <w:rFonts w:hint="eastAsia" w:ascii="宋体" w:hAnsi="宋体"/>
          <w:szCs w:val="21"/>
        </w:rPr>
        <w:t>承包人根据省级政府或省级有关权力部门规定必须缴纳的，应计入建筑安装工程造价的费用。</w:t>
      </w:r>
    </w:p>
    <w:p>
      <w:pPr>
        <w:snapToGrid w:val="0"/>
        <w:spacing w:line="440" w:lineRule="exact"/>
        <w:ind w:firstLine="525" w:firstLineChars="250"/>
        <w:rPr>
          <w:rFonts w:ascii="宋体" w:hAnsi="宋体"/>
          <w:szCs w:val="21"/>
        </w:rPr>
      </w:pPr>
      <w:r>
        <w:rPr>
          <w:rFonts w:hint="eastAsia" w:ascii="宋体" w:hAnsi="宋体"/>
          <w:szCs w:val="21"/>
        </w:rPr>
        <w:t>3.1.7  税金</w:t>
      </w:r>
    </w:p>
    <w:p>
      <w:pPr>
        <w:snapToGrid w:val="0"/>
        <w:spacing w:line="440" w:lineRule="exact"/>
        <w:ind w:firstLine="525" w:firstLineChars="250"/>
        <w:rPr>
          <w:rFonts w:ascii="宋体" w:hAnsi="宋体"/>
          <w:szCs w:val="21"/>
        </w:rPr>
      </w:pPr>
      <w:r>
        <w:rPr>
          <w:rFonts w:hint="eastAsia" w:ascii="宋体" w:hAnsi="宋体"/>
          <w:szCs w:val="21"/>
        </w:rPr>
        <w:t>国家税法规定的应计入建筑安装工程造价内的营业税、城市维护建设税及教育费附加等。</w:t>
      </w:r>
    </w:p>
    <w:p>
      <w:pPr>
        <w:snapToGrid w:val="0"/>
        <w:spacing w:line="440" w:lineRule="exact"/>
        <w:ind w:firstLine="525" w:firstLineChars="250"/>
        <w:rPr>
          <w:rFonts w:ascii="宋体" w:hAnsi="宋体"/>
          <w:szCs w:val="21"/>
        </w:rPr>
      </w:pPr>
      <w:r>
        <w:rPr>
          <w:rFonts w:hint="eastAsia" w:ascii="宋体" w:hAnsi="宋体"/>
          <w:szCs w:val="21"/>
        </w:rPr>
        <w:t>3.1.8  总承包服务费</w:t>
      </w:r>
    </w:p>
    <w:p>
      <w:pPr>
        <w:snapToGrid w:val="0"/>
        <w:spacing w:line="440" w:lineRule="exact"/>
        <w:ind w:firstLine="525" w:firstLineChars="250"/>
        <w:rPr>
          <w:rFonts w:ascii="宋体" w:hAnsi="宋体"/>
          <w:szCs w:val="21"/>
        </w:rPr>
      </w:pPr>
      <w:r>
        <w:rPr>
          <w:rFonts w:hint="eastAsia" w:ascii="宋体" w:hAnsi="宋体"/>
          <w:szCs w:val="21"/>
        </w:rPr>
        <w:t>总承包人为配合协调发包人发包的专业工程以及发包人采购的材料和工程设备等进行管理、服务以及施工现场管理、竣工资料汇总整理等所需的费用。</w:t>
      </w:r>
    </w:p>
    <w:p>
      <w:pPr>
        <w:snapToGrid w:val="0"/>
        <w:spacing w:line="440" w:lineRule="exact"/>
        <w:ind w:firstLine="525" w:firstLineChars="250"/>
        <w:rPr>
          <w:rFonts w:ascii="宋体" w:hAnsi="宋体"/>
          <w:szCs w:val="21"/>
        </w:rPr>
      </w:pPr>
      <w:r>
        <w:rPr>
          <w:rFonts w:hint="eastAsia" w:ascii="宋体" w:hAnsi="宋体"/>
          <w:szCs w:val="21"/>
        </w:rPr>
        <w:t>3.1.9  同义词语</w:t>
      </w:r>
    </w:p>
    <w:p>
      <w:pPr>
        <w:snapToGrid w:val="0"/>
        <w:spacing w:line="440" w:lineRule="exact"/>
        <w:ind w:firstLine="525" w:firstLineChars="250"/>
        <w:rPr>
          <w:rFonts w:ascii="宋体" w:hAnsi="宋体"/>
          <w:szCs w:val="21"/>
        </w:rPr>
      </w:pPr>
      <w:r>
        <w:rPr>
          <w:rFonts w:hint="eastAsia" w:ascii="宋体" w:hAnsi="宋体"/>
          <w:szCs w:val="21"/>
        </w:rPr>
        <w:t>本章中使用的词语“招标人”和“投标人”分别与合同条款中定义的“发包人”和“承包人”同义；就工程量清单而言，“子目”与“项目”同义。</w:t>
      </w:r>
    </w:p>
    <w:p>
      <w:pPr>
        <w:snapToGrid w:val="0"/>
        <w:spacing w:line="440" w:lineRule="exact"/>
        <w:ind w:firstLine="527" w:firstLineChars="250"/>
        <w:rPr>
          <w:rFonts w:ascii="宋体" w:hAnsi="宋体" w:cs="TimesNewRomanPSMT"/>
          <w:b/>
        </w:rPr>
      </w:pPr>
      <w:r>
        <w:rPr>
          <w:rFonts w:hint="eastAsia" w:ascii="宋体" w:hAnsi="宋体" w:cs="TimesNewRomanPSMT"/>
          <w:b/>
        </w:rPr>
        <w:t>3.2暂列金额和暂估价</w:t>
      </w:r>
    </w:p>
    <w:p>
      <w:pPr>
        <w:snapToGrid w:val="0"/>
        <w:spacing w:line="440" w:lineRule="exact"/>
        <w:ind w:firstLine="525" w:firstLineChars="250"/>
        <w:rPr>
          <w:rFonts w:ascii="宋体" w:hAnsi="宋体"/>
          <w:szCs w:val="21"/>
        </w:rPr>
      </w:pPr>
      <w:r>
        <w:rPr>
          <w:rFonts w:hint="eastAsia" w:ascii="宋体" w:hAnsi="宋体"/>
          <w:szCs w:val="21"/>
        </w:rPr>
        <w:t>3.2.1  “暂列金额明细表”中所列暂列金额(不包括计日工金额)中已经包含与其对应的管理费、利润，但不含规费、税金。投标人应按本招标文件规定将此类暂列金额直接纳入其他项目清单的投标价格，不需要考虑除规费、税金以外的其他任何费用。</w:t>
      </w:r>
    </w:p>
    <w:p>
      <w:pPr>
        <w:snapToGrid w:val="0"/>
        <w:spacing w:line="440" w:lineRule="exact"/>
        <w:ind w:firstLine="525" w:firstLineChars="250"/>
        <w:rPr>
          <w:rFonts w:ascii="宋体" w:hAnsi="宋体"/>
          <w:szCs w:val="21"/>
        </w:rPr>
      </w:pPr>
      <w:r>
        <w:rPr>
          <w:rFonts w:hint="eastAsia" w:ascii="宋体" w:hAnsi="宋体"/>
          <w:szCs w:val="21"/>
        </w:rPr>
        <w:t>3.2.2  “材料和工程设备暂估价表”中所列的材料和工程设备暂估价是此类材料、工程设备本身运至施工现场内的工地地面价，不包括其本身所对应的管理费、利润、规费、税金以及这些材料和工程设备的安装、安装所需要的辅助材料、安装损耗、驻厂监造以及发生在现场内的验收、存储、保管、开箱、二次倒运、从存放地点运至安装地点以及其他任何必要的辅助工作(以下简称“暂估价材料和工程设备的安装及辅助工作”)所发生的费用及其对应的管理费、利润、规费和税金。暂估价材料应按工程量清单中提供的暂估价格计入分部分项工程量清单相应子目的综合单价，暂估价设备按工程量清单中提供的暂估价格计入设备费，除此以外投标人还应将上述材料和工程设备的安装及辅助工作所发生的费用以及与此类费用有关的管理费和利润计入在分部分项工程量清单相应子目的综合单价中。</w:t>
      </w:r>
    </w:p>
    <w:p>
      <w:pPr>
        <w:snapToGrid w:val="0"/>
        <w:spacing w:line="440" w:lineRule="exact"/>
        <w:ind w:firstLine="527" w:firstLineChars="250"/>
        <w:rPr>
          <w:rFonts w:ascii="宋体" w:hAnsi="宋体"/>
          <w:b/>
          <w:bCs/>
          <w:szCs w:val="21"/>
        </w:rPr>
      </w:pPr>
      <w:r>
        <w:rPr>
          <w:rFonts w:hint="eastAsia" w:ascii="宋体" w:hAnsi="宋体"/>
          <w:b/>
          <w:bCs/>
          <w:szCs w:val="21"/>
        </w:rPr>
        <w:t>3.3 其他补充说明</w:t>
      </w:r>
    </w:p>
    <w:p>
      <w:pPr>
        <w:snapToGrid w:val="0"/>
        <w:spacing w:line="440" w:lineRule="exact"/>
        <w:ind w:firstLine="525" w:firstLineChars="250"/>
        <w:rPr>
          <w:rFonts w:ascii="宋体" w:hAnsi="宋体"/>
          <w:szCs w:val="21"/>
        </w:rPr>
      </w:pPr>
      <w:r>
        <w:rPr>
          <w:rFonts w:hint="eastAsia" w:ascii="宋体" w:hAnsi="宋体"/>
          <w:szCs w:val="21"/>
        </w:rPr>
        <w:t>3.3.1完成招标范围中所需的各项费用应综合考虑在投标总报价及分部分项清单综合单价中，不再单独列项填报、结算。</w:t>
      </w:r>
    </w:p>
    <w:p>
      <w:pPr>
        <w:snapToGrid w:val="0"/>
        <w:spacing w:line="440" w:lineRule="exact"/>
        <w:ind w:firstLine="525" w:firstLineChars="250"/>
        <w:rPr>
          <w:rFonts w:ascii="宋体" w:hAnsi="宋体"/>
          <w:bCs/>
          <w:szCs w:val="21"/>
        </w:rPr>
      </w:pPr>
      <w:r>
        <w:rPr>
          <w:rFonts w:hint="eastAsia" w:ascii="宋体" w:hAnsi="宋体"/>
          <w:szCs w:val="21"/>
        </w:rPr>
        <w:t>3.3</w:t>
      </w:r>
      <w:r>
        <w:rPr>
          <w:rFonts w:hint="eastAsia" w:ascii="宋体" w:hAnsi="宋体"/>
          <w:bCs/>
          <w:szCs w:val="21"/>
        </w:rPr>
        <w:t>.2</w:t>
      </w:r>
      <w:r>
        <w:rPr>
          <w:rFonts w:hint="eastAsia" w:ascii="宋体" w:hAnsi="宋体"/>
          <w:b/>
          <w:bCs/>
          <w:szCs w:val="21"/>
        </w:rPr>
        <w:t>根据山东省住房和城乡建设厅关于调整建设项目工伤保险费率的通知（鲁建标字〔2020〕17号）建设项目工伤保险按省统一发布费率进行计算，一般计税法下为0.105%，简易计税法下为0.1%。承包人应按照相关规定办理工伤保险并缴纳该部分费用。</w:t>
      </w:r>
    </w:p>
    <w:p>
      <w:pPr>
        <w:snapToGrid w:val="0"/>
        <w:spacing w:line="440" w:lineRule="exact"/>
        <w:ind w:firstLine="527" w:firstLineChars="250"/>
        <w:rPr>
          <w:rFonts w:ascii="宋体" w:hAnsi="宋体"/>
          <w:b/>
          <w:bCs/>
          <w:szCs w:val="21"/>
        </w:rPr>
      </w:pPr>
      <w:r>
        <w:rPr>
          <w:rFonts w:hint="eastAsia" w:ascii="宋体" w:hAnsi="宋体"/>
          <w:b/>
          <w:bCs/>
          <w:szCs w:val="21"/>
        </w:rPr>
        <w:t>3.3.3项目描述及工作内容相同的清单子项综合单价必须相同，若有不同报价，结算时招标人有权按照较低报价确定该子项的综合单价。</w:t>
      </w:r>
    </w:p>
    <w:p>
      <w:pPr>
        <w:snapToGrid w:val="0"/>
        <w:spacing w:line="440" w:lineRule="exact"/>
        <w:ind w:firstLine="527" w:firstLineChars="250"/>
        <w:rPr>
          <w:rFonts w:ascii="宋体" w:hAnsi="宋体"/>
          <w:b/>
          <w:bCs/>
          <w:szCs w:val="21"/>
        </w:rPr>
      </w:pPr>
      <w:r>
        <w:rPr>
          <w:rFonts w:ascii="宋体" w:hAnsi="宋体"/>
          <w:b/>
          <w:bCs/>
          <w:szCs w:val="21"/>
        </w:rPr>
        <w:t>3.3.4</w:t>
      </w:r>
      <w:r>
        <w:rPr>
          <w:rFonts w:hint="eastAsia" w:ascii="宋体" w:hAnsi="宋体"/>
          <w:b/>
          <w:bCs/>
          <w:szCs w:val="21"/>
        </w:rPr>
        <w:t>投标人要对拟建工程可能发生的措施项目和措施费用作通盘考虑，清单计价一经报出，即被认为是包括了所有应该发生的措施项目的全部费用。如果报出的清单中没有列项，而施工中又必须发生的项目，招标人有权认为，其已经综合在分部分项工程量清单的综合单价中。将来措施项目发生时投标人不得以任何借口提出索赔与调整。</w:t>
      </w:r>
      <w:r>
        <w:rPr>
          <w:rFonts w:hint="eastAsia" w:cs="宋体"/>
          <w:b/>
          <w:bCs/>
          <w:lang w:bidi="ar"/>
        </w:rPr>
        <w:t>中标清单措施费总价包干使用，均不作任何调整</w:t>
      </w:r>
      <w:r>
        <w:rPr>
          <w:rFonts w:hint="eastAsia" w:ascii="宋体" w:hAnsi="宋体"/>
          <w:b/>
          <w:bCs/>
          <w:szCs w:val="21"/>
        </w:rPr>
        <w:t>。</w:t>
      </w:r>
    </w:p>
    <w:p>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.5工程量清单另册提供。投标人报价时按给定的工程量清单格式报价。</w:t>
      </w:r>
      <w:bookmarkEnd w:id="135"/>
      <w:bookmarkEnd w:id="136"/>
      <w:bookmarkEnd w:id="137"/>
      <w:bookmarkEnd w:id="138"/>
      <w:bookmarkEnd w:id="139"/>
      <w:bookmarkEnd w:id="140"/>
      <w:bookmarkEnd w:id="141"/>
      <w:bookmarkEnd w:id="142"/>
      <w:bookmarkEnd w:id="143"/>
      <w:bookmarkEnd w:id="144"/>
      <w:bookmarkEnd w:id="145"/>
      <w:bookmarkEnd w:id="146"/>
    </w:p>
    <w:p>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.6施工中因承包人私自变更施工组织设计引起的造价变动一律不计入结算，造成所有损失均有承包人自行负责。</w:t>
      </w:r>
    </w:p>
    <w:p>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.7发包人有权就发包人直接发包的专业工程要求承包人与专业工程承包人签订分包合同，承包人不得有任何异议并应积极配合，否则，发包人有权拒绝支付工程款。</w:t>
      </w:r>
    </w:p>
    <w:p>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8发包人应遵守我国现行的关于保护劳动者的法规，其中包括不得雇佣强迫劳动力和童工；确保工作场所健康、安全，进一步提高和改善工作环境；确保劳动者获得有法律效力并受法律保障的相应报酬。如承包人拖欠劳动者（包含为承包人提供劳动的一切书面或非书面雇佣的工人）工资，造成群体性事件或上访的,承包人须立即出面解决，疏散人群，否则发包人有权从工程款中直接扣除发包人因此遭受的损失。拖欠工资经有关部门调查属实的，发包人有权从工程款中扣除直接向劳动者支付，折抵承包人的工程款。</w:t>
      </w:r>
    </w:p>
    <w:p>
      <w:pPr>
        <w:snapToGrid w:val="0"/>
        <w:spacing w:line="360" w:lineRule="auto"/>
        <w:ind w:firstLine="525" w:firstLineChars="250"/>
        <w:rPr>
          <w:rFonts w:ascii="宋体" w:hAnsi="宋体"/>
          <w:bCs/>
          <w:szCs w:val="21"/>
        </w:rPr>
      </w:pPr>
      <w:r>
        <w:rPr>
          <w:rFonts w:hint="eastAsia" w:ascii="宋体" w:hAnsi="宋体"/>
          <w:bCs/>
          <w:szCs w:val="21"/>
        </w:rPr>
        <w:t>由于承包人或其管理的分包单位拖欠劳动者工资致使发包人被投诉或起诉并被判令先行垫付劳动者工资的，承包人除承担1次严重违约责任外，还应向发包人支付发包人先行垫付的劳动者工资金额的两倍作为补偿。</w:t>
      </w:r>
    </w:p>
    <w:p>
      <w:pPr>
        <w:snapToGrid w:val="0"/>
        <w:spacing w:line="360" w:lineRule="auto"/>
        <w:ind w:firstLine="525" w:firstLineChars="250"/>
        <w:rPr>
          <w:rFonts w:ascii="宋体" w:hAnsi="宋体"/>
          <w:bCs/>
          <w:szCs w:val="21"/>
        </w:rPr>
      </w:pPr>
      <w:r>
        <w:rPr>
          <w:rFonts w:hint="eastAsia" w:ascii="宋体" w:hAnsi="宋体"/>
          <w:bCs/>
          <w:szCs w:val="21"/>
        </w:rPr>
        <w:t>因承包人违约导致发包人暂停支付工程款时，承包人不得以此为理由拖欠工资，在发包人和承包人就暂停支付工程款问题解决之前，承包人有义务先行支付其所属工人工资。</w:t>
      </w:r>
    </w:p>
    <w:p>
      <w:pPr>
        <w:snapToGrid w:val="0"/>
        <w:spacing w:line="360" w:lineRule="auto"/>
        <w:ind w:firstLine="525" w:firstLineChars="250"/>
        <w:rPr>
          <w:rFonts w:ascii="宋体" w:hAnsi="宋体"/>
          <w:bCs/>
          <w:szCs w:val="21"/>
        </w:rPr>
      </w:pPr>
      <w:r>
        <w:rPr>
          <w:rFonts w:hint="eastAsia" w:ascii="宋体" w:hAnsi="宋体"/>
          <w:szCs w:val="21"/>
        </w:rPr>
        <w:t>3.3</w:t>
      </w:r>
      <w:r>
        <w:rPr>
          <w:rFonts w:hint="eastAsia" w:ascii="宋体" w:hAnsi="宋体"/>
          <w:bCs/>
          <w:szCs w:val="21"/>
        </w:rPr>
        <w:t>.9发包人有权在工程款内扣留30万元群体事件保证金，若发生因承包人原因造成的群体上访事件或拖欠工人工资的情形，经发包人核实后，发包人有权在该笔保证金内扣除相应金额的款项代为支付；若未发生因承包人原因造成的群体上访事件或拖欠工人工资的情形，该保证金无息返还或冲抵工程款。</w:t>
      </w:r>
    </w:p>
    <w:p>
      <w:pPr>
        <w:snapToGrid w:val="0"/>
        <w:spacing w:line="360" w:lineRule="auto"/>
        <w:ind w:firstLine="527" w:firstLineChars="250"/>
        <w:rPr>
          <w:rFonts w:ascii="宋体" w:hAnsi="宋体"/>
          <w:b/>
          <w:bCs/>
          <w:color w:val="FF0000"/>
          <w:szCs w:val="21"/>
        </w:rPr>
      </w:pPr>
      <w:r>
        <w:rPr>
          <w:rFonts w:hint="eastAsia" w:ascii="宋体" w:hAnsi="宋体"/>
          <w:b/>
          <w:bCs/>
          <w:szCs w:val="21"/>
        </w:rPr>
        <w:t>3.3.10</w:t>
      </w:r>
      <w:bookmarkStart w:id="168" w:name="_Hlk171519969"/>
      <w:r>
        <w:rPr>
          <w:rFonts w:hint="eastAsia" w:ascii="宋体" w:hAnsi="宋体"/>
          <w:b/>
          <w:bCs/>
          <w:szCs w:val="21"/>
        </w:rPr>
        <w:t>工程结算审计，由发包人委托造价咨询单位审计或自行审计，基本审计费由发包人支付。对审减额超过5%的部分，按审减额的5%计取审计费，由承包人支付；审增部分按实际审增额的5%计取审计费，由承包人支付。承包人应支付的审计费，由发包人在工程款中代扣代缴或者由承包人直接支付</w:t>
      </w:r>
      <w:r>
        <w:rPr>
          <w:rFonts w:hint="eastAsia" w:ascii="宋体" w:hAnsi="宋体"/>
          <w:b/>
          <w:bCs/>
          <w:i/>
          <w:iCs/>
          <w:szCs w:val="21"/>
        </w:rPr>
        <w:t>。</w:t>
      </w:r>
      <w:bookmarkEnd w:id="168"/>
    </w:p>
    <w:p>
      <w:pPr>
        <w:snapToGrid w:val="0"/>
        <w:spacing w:line="360" w:lineRule="auto"/>
        <w:ind w:firstLine="527" w:firstLineChars="250"/>
        <w:rPr>
          <w:rFonts w:ascii="宋体" w:hAnsi="宋体"/>
          <w:b/>
          <w:bCs/>
          <w:szCs w:val="21"/>
        </w:rPr>
      </w:pPr>
      <w:r>
        <w:rPr>
          <w:rFonts w:hint="eastAsia" w:ascii="宋体" w:hAnsi="宋体"/>
          <w:b/>
          <w:bCs/>
          <w:szCs w:val="21"/>
        </w:rPr>
        <w:t>3.3.11中标人需严格按照发包人的设计变更、一单一结、月清月结等制度执行。</w:t>
      </w:r>
    </w:p>
    <w:p>
      <w:pPr>
        <w:snapToGrid w:val="0"/>
        <w:spacing w:line="360" w:lineRule="auto"/>
        <w:ind w:firstLine="527" w:firstLineChars="250"/>
        <w:rPr>
          <w:rStyle w:val="58"/>
          <w:rFonts w:ascii="宋体" w:hAnsi="宋体"/>
          <w:b/>
          <w:szCs w:val="21"/>
        </w:rPr>
      </w:pPr>
      <w:r>
        <w:rPr>
          <w:rFonts w:hint="eastAsia" w:ascii="宋体" w:hAnsi="宋体"/>
          <w:b/>
          <w:bCs/>
          <w:szCs w:val="21"/>
        </w:rPr>
        <w:t>3.3.12</w:t>
      </w:r>
      <w:bookmarkStart w:id="169" w:name="_Hlk209616184"/>
      <w:r>
        <w:rPr>
          <w:rStyle w:val="58"/>
          <w:rFonts w:hint="eastAsia" w:ascii="宋体" w:hAnsi="宋体"/>
          <w:b/>
          <w:szCs w:val="21"/>
        </w:rPr>
        <w:t>本项目不计取总承包服务费及甲供材料（设备）采保费。</w:t>
      </w:r>
      <w:bookmarkEnd w:id="169"/>
    </w:p>
    <w:p>
      <w:pPr>
        <w:snapToGrid w:val="0"/>
        <w:spacing w:line="360" w:lineRule="auto"/>
        <w:ind w:firstLine="527" w:firstLineChars="250"/>
        <w:rPr>
          <w:rFonts w:ascii="宋体" w:hAnsi="宋体"/>
          <w:b/>
          <w:bCs/>
          <w:szCs w:val="21"/>
        </w:rPr>
      </w:pPr>
      <w:r>
        <w:rPr>
          <w:rFonts w:hint="eastAsia" w:ascii="宋体" w:hAnsi="宋体"/>
          <w:b/>
          <w:bCs/>
          <w:szCs w:val="21"/>
        </w:rPr>
        <w:t>3.3.13主要设备及主要材料品牌按照附表中选择。投标文件中已按附表选择主要设备及主要材料品牌的，按投标文件所报品牌执行；未按此选择的，施工过程中必须按此表选择品牌；附表外其他材料承包人在投标时明确品牌的必须使用投标品牌。材料及设备必须是原厂生产，禁止使用委托第三人生产后贴牌的材料和设备，否则按不合格材料处理，承包人按合同条款承担违约责任。</w:t>
      </w:r>
    </w:p>
    <w:p>
      <w:pPr>
        <w:snapToGrid w:val="0"/>
        <w:spacing w:line="360" w:lineRule="auto"/>
        <w:ind w:firstLine="527" w:firstLineChars="250"/>
        <w:rPr>
          <w:rFonts w:ascii="宋体" w:hAnsi="宋体"/>
          <w:b/>
          <w:bCs/>
          <w:szCs w:val="21"/>
        </w:rPr>
      </w:pPr>
      <w:r>
        <w:rPr>
          <w:rFonts w:hint="eastAsia" w:ascii="宋体" w:hAnsi="宋体"/>
          <w:b/>
          <w:bCs/>
          <w:szCs w:val="21"/>
        </w:rPr>
        <w:t>承包人未按照上述约定执行的，一经发现应按照合同约定使用材料及设备总价的2倍向发包人承担违约金，同时应按照监理人发包人要求予以整改，替换成合格的材料和设备，因整改造成工期延误的承包人承担工期延误的违约责任。</w:t>
      </w:r>
    </w:p>
    <w:p>
      <w:pPr>
        <w:snapToGrid w:val="0"/>
        <w:spacing w:line="360" w:lineRule="auto"/>
        <w:ind w:firstLine="527" w:firstLineChars="250"/>
        <w:rPr>
          <w:rFonts w:ascii="宋体" w:hAnsi="宋体"/>
          <w:b/>
          <w:bCs/>
          <w:szCs w:val="21"/>
        </w:rPr>
      </w:pPr>
      <w:r>
        <w:rPr>
          <w:rFonts w:hint="eastAsia" w:ascii="宋体" w:hAnsi="宋体"/>
          <w:b/>
          <w:bCs/>
          <w:szCs w:val="21"/>
        </w:rPr>
        <w:t>若因市场货源不足或供货时间原因确需采用其他品牌、厂家同类产品替代的，承包人必须报发包人审核批准，并同时核定替代产品的单价。若替代产品的市场单价高于合同约定（投标）品牌市场单价，不予调整；若低于合同约定（投标）品牌市场单价，按实调整。若未经发包人同意而使用其他品牌的，视为使用不合格材料，承包人按合同条款承担违约责任。</w:t>
      </w:r>
    </w:p>
    <w:p>
      <w:pPr>
        <w:snapToGrid w:val="0"/>
        <w:spacing w:line="360" w:lineRule="auto"/>
        <w:ind w:firstLine="527" w:firstLineChars="250"/>
        <w:rPr>
          <w:rFonts w:ascii="宋体" w:hAnsi="宋体"/>
          <w:b/>
          <w:bCs/>
          <w:szCs w:val="21"/>
        </w:rPr>
      </w:pPr>
      <w:r>
        <w:rPr>
          <w:rFonts w:hint="eastAsia" w:ascii="宋体" w:hAnsi="宋体"/>
          <w:b/>
          <w:bCs/>
          <w:szCs w:val="21"/>
        </w:rPr>
        <w:t>3.3.14本项目中建设单位有特别要求的建筑材料、设备设施或构配件，需在订货前征得建设单位同意后方可采购。</w:t>
      </w:r>
    </w:p>
    <w:p>
      <w:pPr>
        <w:snapToGrid w:val="0"/>
        <w:spacing w:line="360" w:lineRule="auto"/>
        <w:ind w:firstLine="527" w:firstLineChars="250"/>
        <w:rPr>
          <w:rFonts w:ascii="宋体" w:hAnsi="宋体"/>
          <w:b/>
          <w:bCs/>
          <w:szCs w:val="21"/>
        </w:rPr>
      </w:pPr>
      <w:r>
        <w:rPr>
          <w:rFonts w:hint="eastAsia" w:ascii="宋体" w:hAnsi="宋体"/>
          <w:b/>
          <w:bCs/>
          <w:szCs w:val="21"/>
        </w:rPr>
        <w:t>3.3.15本项目中所有使用的主要关键材料等均须经过建设单位和监理单位对样品进行书面审批同意后方可采购进场。</w:t>
      </w:r>
    </w:p>
    <w:p>
      <w:pPr>
        <w:snapToGrid w:val="0"/>
        <w:spacing w:line="360" w:lineRule="auto"/>
        <w:ind w:firstLine="527" w:firstLineChars="250"/>
        <w:rPr>
          <w:rFonts w:ascii="宋体" w:hAnsi="宋体"/>
          <w:b/>
          <w:bCs/>
          <w:szCs w:val="21"/>
        </w:rPr>
      </w:pPr>
      <w:r>
        <w:rPr>
          <w:rFonts w:hint="eastAsia" w:ascii="宋体" w:hAnsi="宋体"/>
          <w:b/>
          <w:bCs/>
          <w:szCs w:val="21"/>
        </w:rPr>
        <w:t>3.3.16农民工工资保证金由中标方按相关项目属地政府规定按期自行办理。</w:t>
      </w:r>
      <w:r>
        <w:rPr>
          <w:rFonts w:hint="eastAsia" w:ascii="宋体" w:hAnsi="宋体"/>
          <w:b/>
          <w:bCs/>
          <w:szCs w:val="21"/>
        </w:rPr>
        <w:tab/>
      </w:r>
    </w:p>
    <w:p>
      <w:pPr>
        <w:snapToGrid w:val="0"/>
        <w:spacing w:line="360" w:lineRule="auto"/>
        <w:ind w:firstLine="527" w:firstLineChars="250"/>
        <w:rPr>
          <w:rFonts w:ascii="宋体" w:hAnsi="宋体"/>
          <w:b/>
          <w:bCs/>
          <w:szCs w:val="21"/>
        </w:rPr>
      </w:pPr>
      <w:r>
        <w:rPr>
          <w:rFonts w:hint="eastAsia" w:ascii="宋体" w:hAnsi="宋体"/>
          <w:b/>
          <w:bCs/>
          <w:szCs w:val="21"/>
        </w:rPr>
        <w:t>3.3.17工伤保险由中标方按相关政府标准规定缴纳。</w:t>
      </w:r>
    </w:p>
    <w:bookmarkEnd w:id="122"/>
    <w:bookmarkEnd w:id="123"/>
    <w:p>
      <w:pPr>
        <w:snapToGrid w:val="0"/>
        <w:spacing w:line="360" w:lineRule="auto"/>
        <w:ind w:firstLine="527" w:firstLineChars="250"/>
        <w:rPr>
          <w:b/>
          <w:bCs/>
        </w:rPr>
      </w:pPr>
      <w:r>
        <w:rPr>
          <w:rFonts w:hint="eastAsia" w:ascii="宋体" w:hAnsi="宋体"/>
          <w:b/>
          <w:bCs/>
          <w:szCs w:val="21"/>
        </w:rPr>
        <w:t>3.3.18</w:t>
      </w:r>
      <w:r>
        <w:rPr>
          <w:rFonts w:hint="eastAsia"/>
          <w:b/>
          <w:bCs/>
        </w:rPr>
        <w:t>投标人在投标前应进行现场踏勘，充分了解现场情况，拆除改造内容标注自行处置的应充分考虑材料回收费用后报价，投标报价一经报出，即认为是包含了为完成本项施工内容进行的所有工作，相关的施工费用不再单独计取。</w:t>
      </w:r>
    </w:p>
    <w:p>
      <w:pPr>
        <w:pStyle w:val="19"/>
        <w:rPr>
          <w:rStyle w:val="58"/>
          <w:rFonts w:ascii="宋体" w:hAnsi="宋体"/>
          <w:szCs w:val="21"/>
        </w:rPr>
      </w:pPr>
    </w:p>
    <w:p>
      <w:pPr>
        <w:pStyle w:val="19"/>
        <w:rPr>
          <w:rStyle w:val="58"/>
          <w:rFonts w:ascii="宋体" w:hAnsi="宋体"/>
          <w:szCs w:val="21"/>
        </w:rPr>
      </w:pPr>
    </w:p>
    <w:p>
      <w:pPr>
        <w:pStyle w:val="5"/>
        <w:jc w:val="center"/>
        <w:rPr>
          <w:sz w:val="48"/>
          <w:szCs w:val="48"/>
        </w:rPr>
        <w:sectPr>
          <w:headerReference r:id="rId19" w:type="first"/>
          <w:headerReference r:id="rId17" w:type="default"/>
          <w:headerReference r:id="rId18" w:type="even"/>
          <w:pgSz w:w="11906" w:h="16838"/>
          <w:pgMar w:top="1588" w:right="1701" w:bottom="1418" w:left="1701" w:header="851" w:footer="851" w:gutter="0"/>
          <w:cols w:space="720" w:num="1"/>
          <w:docGrid w:linePitch="312" w:charSpace="0"/>
        </w:sectPr>
      </w:pPr>
      <w:bookmarkStart w:id="170" w:name="_Toc28237"/>
    </w:p>
    <w:p>
      <w:pPr>
        <w:pStyle w:val="5"/>
        <w:jc w:val="center"/>
        <w:rPr>
          <w:sz w:val="48"/>
          <w:szCs w:val="48"/>
        </w:rPr>
        <w:sectPr>
          <w:pgSz w:w="11906" w:h="16838"/>
          <w:pgMar w:top="1588" w:right="1701" w:bottom="1418" w:left="1701" w:header="851" w:footer="851" w:gutter="0"/>
          <w:cols w:space="720" w:num="1"/>
          <w:vAlign w:val="center"/>
          <w:docGrid w:linePitch="312" w:charSpace="0"/>
        </w:sectPr>
      </w:pPr>
      <w:bookmarkStart w:id="171" w:name="_Toc211261924"/>
      <w:r>
        <w:rPr>
          <w:sz w:val="48"/>
          <w:szCs w:val="48"/>
        </w:rPr>
        <w:t>第二卷</w:t>
      </w:r>
      <w:bookmarkEnd w:id="170"/>
      <w:bookmarkEnd w:id="171"/>
    </w:p>
    <w:p>
      <w:pPr>
        <w:pStyle w:val="6"/>
        <w:jc w:val="center"/>
        <w:rPr>
          <w:i w:val="0"/>
          <w:iCs w:val="0"/>
          <w:sz w:val="32"/>
          <w:szCs w:val="32"/>
        </w:rPr>
      </w:pPr>
      <w:bookmarkStart w:id="172" w:name="_Toc17817345"/>
      <w:bookmarkStart w:id="173" w:name="_Toc10358"/>
      <w:bookmarkStart w:id="174" w:name="_Toc211261925"/>
      <w:r>
        <w:rPr>
          <w:i w:val="0"/>
          <w:iCs w:val="0"/>
          <w:sz w:val="32"/>
          <w:szCs w:val="32"/>
        </w:rPr>
        <w:t>第六章  图  纸</w:t>
      </w:r>
      <w:bookmarkEnd w:id="172"/>
      <w:bookmarkEnd w:id="173"/>
      <w:bookmarkEnd w:id="174"/>
    </w:p>
    <w:p>
      <w:pPr>
        <w:spacing w:line="500" w:lineRule="exact"/>
        <w:ind w:firstLine="422" w:firstLineChars="200"/>
        <w:rPr>
          <w:rStyle w:val="58"/>
          <w:rFonts w:ascii="宋体" w:hAnsi="宋体"/>
          <w:b/>
          <w:bCs/>
        </w:rPr>
      </w:pPr>
      <w:r>
        <w:rPr>
          <w:rStyle w:val="58"/>
          <w:rFonts w:ascii="宋体" w:hAnsi="宋体"/>
          <w:b/>
          <w:bCs/>
        </w:rPr>
        <w:t>图纸以</w:t>
      </w:r>
      <w:r>
        <w:rPr>
          <w:rStyle w:val="58"/>
          <w:rFonts w:hint="eastAsia" w:ascii="宋体" w:hAnsi="宋体"/>
          <w:b/>
          <w:bCs/>
        </w:rPr>
        <w:t>同招标文件一同</w:t>
      </w:r>
      <w:r>
        <w:rPr>
          <w:rStyle w:val="58"/>
          <w:rFonts w:hint="eastAsia" w:ascii="宋体" w:hAnsi="宋体"/>
          <w:b/>
          <w:bCs/>
          <w:lang w:val="en-US" w:eastAsia="zh-CN"/>
        </w:rPr>
        <w:t>在e采通系统</w:t>
      </w:r>
      <w:r>
        <w:rPr>
          <w:rStyle w:val="58"/>
          <w:rFonts w:hint="eastAsia" w:ascii="宋体" w:hAnsi="宋体"/>
          <w:b/>
          <w:bCs/>
        </w:rPr>
        <w:t>发出的电子版</w:t>
      </w:r>
      <w:r>
        <w:rPr>
          <w:rStyle w:val="58"/>
          <w:rFonts w:ascii="宋体" w:hAnsi="宋体"/>
          <w:b/>
          <w:bCs/>
        </w:rPr>
        <w:t>为准。具体施工范围请对应工程量清单及招标文件要求。</w:t>
      </w:r>
    </w:p>
    <w:p>
      <w:pPr>
        <w:pStyle w:val="2"/>
      </w:pPr>
    </w:p>
    <w:p>
      <w:pPr>
        <w:rPr>
          <w:rStyle w:val="58"/>
          <w:rFonts w:ascii="宋体" w:hAnsi="宋体"/>
          <w:szCs w:val="21"/>
        </w:rPr>
      </w:pPr>
    </w:p>
    <w:p>
      <w:pPr>
        <w:rPr>
          <w:rStyle w:val="58"/>
          <w:rFonts w:ascii="宋体" w:hAnsi="宋体"/>
        </w:rPr>
      </w:pPr>
    </w:p>
    <w:p>
      <w:pPr>
        <w:pStyle w:val="5"/>
        <w:jc w:val="center"/>
        <w:rPr>
          <w:sz w:val="48"/>
          <w:szCs w:val="48"/>
        </w:rPr>
        <w:sectPr>
          <w:pgSz w:w="11906" w:h="16838"/>
          <w:pgMar w:top="1588" w:right="1701" w:bottom="1418" w:left="1701" w:header="851" w:footer="851" w:gutter="0"/>
          <w:cols w:space="720" w:num="1"/>
          <w:docGrid w:linePitch="312" w:charSpace="0"/>
        </w:sectPr>
      </w:pPr>
      <w:bookmarkStart w:id="175" w:name="_Toc3146"/>
    </w:p>
    <w:p>
      <w:pPr>
        <w:pStyle w:val="5"/>
        <w:jc w:val="center"/>
        <w:rPr>
          <w:sz w:val="48"/>
          <w:szCs w:val="48"/>
        </w:rPr>
        <w:sectPr>
          <w:pgSz w:w="11906" w:h="16838"/>
          <w:pgMar w:top="1588" w:right="1701" w:bottom="1418" w:left="1701" w:header="851" w:footer="851" w:gutter="0"/>
          <w:cols w:space="720" w:num="1"/>
          <w:vAlign w:val="center"/>
          <w:docGrid w:linePitch="312" w:charSpace="0"/>
        </w:sectPr>
      </w:pPr>
      <w:bookmarkStart w:id="176" w:name="_Toc211261926"/>
      <w:r>
        <w:rPr>
          <w:sz w:val="48"/>
          <w:szCs w:val="48"/>
        </w:rPr>
        <w:t>第三卷</w:t>
      </w:r>
      <w:bookmarkEnd w:id="175"/>
      <w:bookmarkEnd w:id="176"/>
    </w:p>
    <w:p>
      <w:pPr>
        <w:pStyle w:val="6"/>
        <w:jc w:val="center"/>
        <w:rPr>
          <w:i w:val="0"/>
          <w:iCs w:val="0"/>
          <w:sz w:val="32"/>
          <w:szCs w:val="32"/>
        </w:rPr>
      </w:pPr>
      <w:bookmarkStart w:id="177" w:name="_Toc4366"/>
      <w:bookmarkStart w:id="178" w:name="_Toc211261927"/>
      <w:bookmarkStart w:id="179" w:name="_Toc17817346"/>
      <w:r>
        <w:rPr>
          <w:i w:val="0"/>
          <w:iCs w:val="0"/>
          <w:sz w:val="32"/>
          <w:szCs w:val="32"/>
        </w:rPr>
        <w:t>第七章  技术标准和要求</w:t>
      </w:r>
      <w:bookmarkEnd w:id="177"/>
      <w:bookmarkEnd w:id="178"/>
      <w:bookmarkEnd w:id="179"/>
    </w:p>
    <w:p>
      <w:pPr>
        <w:snapToGrid w:val="0"/>
        <w:spacing w:line="440" w:lineRule="exact"/>
        <w:ind w:firstLine="525" w:firstLineChars="250"/>
        <w:rPr>
          <w:rStyle w:val="58"/>
          <w:rFonts w:ascii="宋体" w:hAnsi="宋体"/>
        </w:rPr>
      </w:pPr>
      <w:r>
        <w:rPr>
          <w:rStyle w:val="58"/>
          <w:rFonts w:hint="eastAsia" w:ascii="宋体" w:hAnsi="宋体"/>
        </w:rPr>
        <w:t>一、依据设计施工图纸和技术文件要求，本工程项目的材料、设备、施工必须达到现行中华人民共和国及省、市、行业的一切有关法规、规范的要求，如各标准及规范要求有出入则以较严格者为准。</w:t>
      </w:r>
    </w:p>
    <w:p>
      <w:pPr>
        <w:snapToGrid w:val="0"/>
        <w:spacing w:line="440" w:lineRule="exact"/>
        <w:ind w:firstLine="525" w:firstLineChars="250"/>
        <w:rPr>
          <w:rStyle w:val="58"/>
          <w:rFonts w:ascii="宋体" w:hAnsi="宋体"/>
        </w:rPr>
      </w:pPr>
      <w:r>
        <w:rPr>
          <w:rStyle w:val="58"/>
          <w:rFonts w:hint="eastAsia" w:ascii="宋体" w:hAnsi="宋体"/>
        </w:rPr>
        <w:t>二、执行国家、省市现行的建设工程施工及工程质量验收规范、施工技术标准、程序，建设工程施工操作规程、“建设工程质量管理条例”、“工程建设强制性标准”、“工程建设标准强制性条文”、“建筑工程安全生产管理条理”、“建筑施工安全检查标准”以及有关建筑质量、安全施工建筑材料及半成品备案证制度等有关文件、规定、施工图纸、技术交底、地质勘察等有关技术说明和“建筑工程质量检验评定标准”，“建筑安装工程质量检验评定统一标准”等。</w:t>
      </w:r>
      <w:r>
        <w:rPr>
          <w:rStyle w:val="58"/>
          <w:rFonts w:ascii="宋体" w:hAnsi="宋体"/>
        </w:rPr>
        <w:tab/>
      </w:r>
    </w:p>
    <w:p>
      <w:pPr>
        <w:snapToGrid w:val="0"/>
        <w:spacing w:line="440" w:lineRule="exact"/>
        <w:ind w:firstLine="527" w:firstLineChars="250"/>
        <w:rPr>
          <w:rStyle w:val="58"/>
          <w:rFonts w:ascii="宋体" w:hAnsi="宋体"/>
          <w:b/>
          <w:bCs/>
        </w:rPr>
      </w:pPr>
      <w:r>
        <w:rPr>
          <w:rStyle w:val="58"/>
          <w:rFonts w:hint="eastAsia" w:ascii="宋体" w:hAnsi="宋体"/>
          <w:b/>
          <w:bCs/>
        </w:rPr>
        <w:t>三、甲限乙购</w:t>
      </w:r>
      <w:r>
        <w:rPr>
          <w:rStyle w:val="58"/>
          <w:rFonts w:ascii="宋体" w:hAnsi="宋体"/>
          <w:b/>
          <w:bCs/>
        </w:rPr>
        <w:t>材料（设备）品牌</w:t>
      </w:r>
      <w:r>
        <w:rPr>
          <w:rStyle w:val="58"/>
          <w:rFonts w:hint="eastAsia" w:ascii="宋体" w:hAnsi="宋体"/>
          <w:b/>
          <w:bCs/>
        </w:rPr>
        <w:t>表</w:t>
      </w:r>
    </w:p>
    <w:p/>
    <w:tbl>
      <w:tblPr>
        <w:tblStyle w:val="37"/>
        <w:tblW w:w="5000" w:type="pct"/>
        <w:tblInd w:w="0" w:type="dxa"/>
        <w:tblLayout w:type="autofit"/>
        <w:tblCellMar>
          <w:top w:w="0" w:type="dxa"/>
          <w:left w:w="0" w:type="dxa"/>
          <w:bottom w:w="0" w:type="dxa"/>
          <w:right w:w="0" w:type="dxa"/>
        </w:tblCellMar>
      </w:tblPr>
      <w:tblGrid>
        <w:gridCol w:w="501"/>
        <w:gridCol w:w="1747"/>
        <w:gridCol w:w="3139"/>
        <w:gridCol w:w="3137"/>
      </w:tblGrid>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4"/>
                <w14:textFill>
                  <w14:solidFill>
                    <w14:schemeClr w14:val="tx1"/>
                  </w14:solidFill>
                </w14:textFill>
              </w:rPr>
            </w:pPr>
            <w:r>
              <w:rPr>
                <w:rFonts w:hint="eastAsia" w:ascii="仿宋" w:hAnsi="仿宋" w:eastAsia="仿宋" w:cs="仿宋"/>
                <w:b/>
                <w:color w:val="000000" w:themeColor="text1"/>
                <w:sz w:val="24"/>
                <w:lang w:bidi="ar"/>
                <w14:textFill>
                  <w14:solidFill>
                    <w14:schemeClr w14:val="tx1"/>
                  </w14:solidFill>
                </w14:textFill>
              </w:rPr>
              <w:t>序号</w:t>
            </w:r>
          </w:p>
        </w:tc>
        <w:tc>
          <w:tcPr>
            <w:tcW w:w="1025"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4"/>
                <w14:textFill>
                  <w14:solidFill>
                    <w14:schemeClr w14:val="tx1"/>
                  </w14:solidFill>
                </w14:textFill>
              </w:rPr>
            </w:pPr>
            <w:r>
              <w:rPr>
                <w:rFonts w:hint="eastAsia" w:ascii="仿宋" w:hAnsi="仿宋" w:eastAsia="仿宋" w:cs="仿宋"/>
                <w:b/>
                <w:color w:val="000000" w:themeColor="text1"/>
                <w:sz w:val="24"/>
                <w:lang w:bidi="ar"/>
                <w14:textFill>
                  <w14:solidFill>
                    <w14:schemeClr w14:val="tx1"/>
                  </w14:solidFill>
                </w14:textFill>
              </w:rPr>
              <w:t>主材及设备名称</w:t>
            </w:r>
          </w:p>
        </w:tc>
        <w:tc>
          <w:tcPr>
            <w:tcW w:w="1841"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jc w:val="center"/>
              <w:textAlignment w:val="center"/>
              <w:rPr>
                <w:rFonts w:ascii="仿宋" w:hAnsi="仿宋" w:eastAsia="仿宋" w:cs="仿宋"/>
                <w:b/>
                <w:color w:val="000000" w:themeColor="text1"/>
                <w:sz w:val="24"/>
                <w14:textFill>
                  <w14:solidFill>
                    <w14:schemeClr w14:val="tx1"/>
                  </w14:solidFill>
                </w14:textFill>
              </w:rPr>
            </w:pPr>
            <w:r>
              <w:rPr>
                <w:rFonts w:hint="eastAsia" w:ascii="仿宋" w:hAnsi="仿宋" w:eastAsia="仿宋" w:cs="仿宋"/>
                <w:b/>
                <w:color w:val="000000" w:themeColor="text1"/>
                <w:sz w:val="24"/>
                <w:lang w:bidi="ar"/>
                <w14:textFill>
                  <w14:solidFill>
                    <w14:schemeClr w14:val="tx1"/>
                  </w14:solidFill>
                </w14:textFill>
              </w:rPr>
              <w:t>甲限品牌范围</w:t>
            </w:r>
          </w:p>
        </w:tc>
        <w:tc>
          <w:tcPr>
            <w:tcW w:w="1840" w:type="pct"/>
            <w:tcBorders>
              <w:top w:val="single" w:color="000000" w:sz="4" w:space="0"/>
              <w:left w:val="single" w:color="000000" w:sz="4" w:space="0"/>
              <w:bottom w:val="single" w:color="000000" w:sz="4" w:space="0"/>
              <w:right w:val="single" w:color="000000" w:sz="4" w:space="0"/>
            </w:tcBorders>
            <w:vAlign w:val="center"/>
          </w:tcPr>
          <w:p>
            <w:pPr>
              <w:jc w:val="center"/>
              <w:textAlignment w:val="center"/>
              <w:rPr>
                <w:rFonts w:ascii="仿宋" w:hAnsi="仿宋" w:eastAsia="仿宋" w:cs="仿宋"/>
                <w:b/>
                <w:color w:val="000000" w:themeColor="text1"/>
                <w:sz w:val="24"/>
                <w:lang w:bidi="ar"/>
                <w14:textFill>
                  <w14:solidFill>
                    <w14:schemeClr w14:val="tx1"/>
                  </w14:solidFill>
                </w14:textFill>
              </w:rPr>
            </w:pPr>
            <w:r>
              <w:rPr>
                <w:rFonts w:hint="eastAsia" w:ascii="仿宋" w:hAnsi="仿宋" w:eastAsia="仿宋" w:cs="仿宋"/>
                <w:b/>
                <w:color w:val="000000" w:themeColor="text1"/>
                <w:sz w:val="24"/>
                <w:lang w:bidi="ar"/>
                <w14:textFill>
                  <w14:solidFill>
                    <w14:schemeClr w14:val="tx1"/>
                  </w14:solidFill>
                </w14:textFill>
              </w:rPr>
              <w:t>备注</w:t>
            </w: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空调机组</w:t>
            </w:r>
          </w:p>
        </w:tc>
        <w:tc>
          <w:tcPr>
            <w:tcW w:w="1841"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宋体" w:hAnsi="宋体" w:cs="宋体"/>
                <w:color w:val="000000"/>
                <w:kern w:val="0"/>
                <w:sz w:val="22"/>
                <w:szCs w:val="22"/>
                <w:lang w:bidi="ar"/>
              </w:rPr>
              <w:t>GREE格力、Midea美的、Haier海尔、Hisense海信、TICA天加、DunAn盾安、EK欧科、Sinoking思科、SHENGLING申菱</w:t>
            </w:r>
          </w:p>
        </w:tc>
        <w:tc>
          <w:tcPr>
            <w:tcW w:w="1840" w:type="pct"/>
            <w:vMerge w:val="restart"/>
            <w:tcBorders>
              <w:top w:val="single" w:color="auto" w:sz="4" w:space="0"/>
              <w:left w:val="nil"/>
              <w:right w:val="single" w:color="auto" w:sz="4" w:space="0"/>
            </w:tcBorders>
            <w:vAlign w:val="center"/>
          </w:tcPr>
          <w:p>
            <w:pPr>
              <w:spacing w:line="288" w:lineRule="auto"/>
              <w:jc w:val="center"/>
              <w:textAlignment w:val="center"/>
              <w:rPr>
                <w:rFonts w:ascii="宋体" w:hAnsi="宋体" w:cs="宋体"/>
                <w:b/>
                <w:bCs/>
                <w:color w:val="000000"/>
                <w:kern w:val="0"/>
                <w:sz w:val="22"/>
                <w:szCs w:val="22"/>
                <w:lang w:bidi="ar"/>
              </w:rPr>
            </w:pPr>
            <w:r>
              <w:rPr>
                <w:rFonts w:hint="eastAsia" w:ascii="仿宋" w:hAnsi="仿宋" w:eastAsia="仿宋" w:cs="仿宋"/>
                <w:b/>
                <w:bCs/>
                <w:color w:val="000000" w:themeColor="text1"/>
                <w:sz w:val="24"/>
                <w14:textFill>
                  <w14:solidFill>
                    <w14:schemeClr w14:val="tx1"/>
                  </w14:solidFill>
                </w14:textFill>
              </w:rPr>
              <w:t>因工期原因，确实需要在甲限品牌外选择其他品牌的，应选择同档次品牌并须在技术标书中进行偏离澄清。</w:t>
            </w: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single" w:color="auto"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卷帘门</w:t>
            </w:r>
          </w:p>
        </w:tc>
        <w:tc>
          <w:tcPr>
            <w:tcW w:w="1841" w:type="pc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DOORHAN道翰、KOPRON高浦龙、上海快联、SEPPES西朗门业、江苏金秋竹、青岛拉斐特</w:t>
            </w:r>
          </w:p>
        </w:tc>
        <w:tc>
          <w:tcPr>
            <w:tcW w:w="1840" w:type="pct"/>
            <w:vMerge w:val="continue"/>
            <w:tcBorders>
              <w:left w:val="nil"/>
              <w:right w:val="single" w:color="auto" w:sz="4" w:space="0"/>
            </w:tcBorders>
            <w:vAlign w:val="center"/>
          </w:tcPr>
          <w:p>
            <w:pPr>
              <w:jc w:val="center"/>
              <w:textAlignment w:val="center"/>
              <w:rPr>
                <w:rFonts w:ascii="仿宋" w:hAnsi="仿宋" w:eastAsia="仿宋" w:cs="仿宋"/>
                <w:color w:val="000000" w:themeColor="text1"/>
                <w:sz w:val="24"/>
                <w14:textFill>
                  <w14:solidFill>
                    <w14:schemeClr w14:val="tx1"/>
                  </w14:solidFill>
                </w14:textFill>
              </w:rPr>
            </w:pP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岩棉夹芯板</w:t>
            </w:r>
          </w:p>
        </w:tc>
        <w:tc>
          <w:tcPr>
            <w:tcW w:w="1841"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东方诚建设集团有限公司、森特士兴集团股份有限公司、山东万事达建筑钢品股份有限公司、山东鸿星新材料科技股份有限公司</w:t>
            </w:r>
          </w:p>
        </w:tc>
        <w:tc>
          <w:tcPr>
            <w:tcW w:w="1840" w:type="pct"/>
            <w:vMerge w:val="continue"/>
            <w:tcBorders>
              <w:left w:val="nil"/>
              <w:right w:val="single" w:color="auto" w:sz="4" w:space="0"/>
            </w:tcBorders>
            <w:vAlign w:val="center"/>
          </w:tcPr>
          <w:p>
            <w:pPr>
              <w:jc w:val="center"/>
              <w:textAlignment w:val="center"/>
              <w:rPr>
                <w:rFonts w:ascii="仿宋" w:hAnsi="仿宋" w:eastAsia="仿宋" w:cs="仿宋"/>
                <w:color w:val="000000" w:themeColor="text1"/>
                <w:sz w:val="24"/>
                <w14:textFill>
                  <w14:solidFill>
                    <w14:schemeClr w14:val="tx1"/>
                  </w14:solidFill>
                </w14:textFill>
              </w:rPr>
            </w:pP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彩钢板</w:t>
            </w:r>
          </w:p>
        </w:tc>
        <w:tc>
          <w:tcPr>
            <w:tcW w:w="1841"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宝钢、YPC烨辉（常熟）、首钢、冠洲</w:t>
            </w:r>
          </w:p>
        </w:tc>
        <w:tc>
          <w:tcPr>
            <w:tcW w:w="1840" w:type="pct"/>
            <w:vMerge w:val="continue"/>
            <w:tcBorders>
              <w:left w:val="nil"/>
              <w:right w:val="single" w:color="auto" w:sz="4" w:space="0"/>
            </w:tcBorders>
            <w:vAlign w:val="center"/>
          </w:tcPr>
          <w:p>
            <w:pPr>
              <w:jc w:val="center"/>
              <w:textAlignment w:val="center"/>
              <w:rPr>
                <w:rFonts w:ascii="仿宋" w:hAnsi="仿宋" w:eastAsia="仿宋" w:cs="仿宋"/>
                <w:color w:val="000000" w:themeColor="text1"/>
                <w:sz w:val="24"/>
                <w14:textFill>
                  <w14:solidFill>
                    <w14:schemeClr w14:val="tx1"/>
                  </w14:solidFill>
                </w14:textFill>
              </w:rPr>
            </w:pP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LED灯具</w:t>
            </w:r>
          </w:p>
        </w:tc>
        <w:tc>
          <w:tcPr>
            <w:tcW w:w="1841"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OPPLE欧普、FSL佛山照明、TCL、上海亚明、雷士NVC、深圳海洋王照明</w:t>
            </w:r>
          </w:p>
        </w:tc>
        <w:tc>
          <w:tcPr>
            <w:tcW w:w="1840" w:type="pct"/>
            <w:vMerge w:val="continue"/>
            <w:tcBorders>
              <w:left w:val="nil"/>
              <w:right w:val="single" w:color="auto" w:sz="4" w:space="0"/>
            </w:tcBorders>
            <w:vAlign w:val="center"/>
          </w:tcPr>
          <w:p>
            <w:pPr>
              <w:jc w:val="center"/>
              <w:textAlignment w:val="center"/>
              <w:rPr>
                <w:rFonts w:ascii="仿宋" w:hAnsi="仿宋" w:eastAsia="仿宋" w:cs="仿宋"/>
                <w:color w:val="000000" w:themeColor="text1"/>
                <w:sz w:val="24"/>
                <w14:textFill>
                  <w14:solidFill>
                    <w14:schemeClr w14:val="tx1"/>
                  </w14:solidFill>
                </w14:textFill>
              </w:rPr>
            </w:pPr>
          </w:p>
        </w:tc>
      </w:tr>
      <w:tr>
        <w:tblPrEx>
          <w:tblCellMar>
            <w:top w:w="0" w:type="dxa"/>
            <w:left w:w="0" w:type="dxa"/>
            <w:bottom w:w="0" w:type="dxa"/>
            <w:right w:w="0" w:type="dxa"/>
          </w:tblCellMar>
        </w:tblPrEx>
        <w:trPr>
          <w:trHeight w:val="558" w:hRule="atLeast"/>
        </w:trPr>
        <w:tc>
          <w:tcPr>
            <w:tcW w:w="294" w:type="pc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pStyle w:val="67"/>
              <w:numPr>
                <w:ilvl w:val="0"/>
                <w:numId w:val="14"/>
              </w:numPr>
              <w:ind w:firstLineChars="0"/>
              <w:jc w:val="center"/>
              <w:textAlignment w:val="center"/>
              <w:rPr>
                <w:rFonts w:ascii="仿宋" w:hAnsi="仿宋" w:eastAsia="仿宋" w:cs="仿宋"/>
                <w:b/>
                <w:color w:val="000000" w:themeColor="text1"/>
                <w:sz w:val="24"/>
                <w:lang w:bidi="ar"/>
                <w14:textFill>
                  <w14:solidFill>
                    <w14:schemeClr w14:val="tx1"/>
                  </w14:solidFill>
                </w14:textFill>
              </w:rPr>
            </w:pPr>
          </w:p>
        </w:tc>
        <w:tc>
          <w:tcPr>
            <w:tcW w:w="1025" w:type="pct"/>
            <w:tcBorders>
              <w:top w:val="nil"/>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b/>
                <w:bCs/>
                <w:color w:val="000000" w:themeColor="text1"/>
                <w:sz w:val="24"/>
                <w14:textFill>
                  <w14:solidFill>
                    <w14:schemeClr w14:val="tx1"/>
                  </w14:solidFill>
                </w14:textFill>
              </w:rPr>
            </w:pPr>
            <w:r>
              <w:rPr>
                <w:rFonts w:hint="eastAsia" w:ascii="仿宋" w:hAnsi="仿宋" w:eastAsia="仿宋" w:cs="仿宋"/>
                <w:b/>
                <w:bCs/>
                <w:color w:val="000000" w:themeColor="text1"/>
                <w:sz w:val="24"/>
                <w14:textFill>
                  <w14:solidFill>
                    <w14:schemeClr w14:val="tx1"/>
                  </w14:solidFill>
                </w14:textFill>
              </w:rPr>
              <w:t>低压断路器</w:t>
            </w:r>
          </w:p>
        </w:tc>
        <w:tc>
          <w:tcPr>
            <w:tcW w:w="1841" w:type="pct"/>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center"/>
              <w:textAlignment w:val="center"/>
              <w:rPr>
                <w:rFonts w:ascii="仿宋" w:hAnsi="仿宋" w:eastAsia="仿宋" w:cs="仿宋"/>
                <w:color w:val="000000" w:themeColor="text1"/>
                <w:sz w:val="24"/>
                <w14:textFill>
                  <w14:solidFill>
                    <w14:schemeClr w14:val="tx1"/>
                  </w14:solidFill>
                </w14:textFill>
              </w:rPr>
            </w:pPr>
            <w:r>
              <w:rPr>
                <w:rFonts w:hint="eastAsia" w:ascii="仿宋" w:hAnsi="仿宋" w:eastAsia="仿宋" w:cs="仿宋"/>
                <w:color w:val="000000" w:themeColor="text1"/>
                <w:sz w:val="24"/>
                <w14:textFill>
                  <w14:solidFill>
                    <w14:schemeClr w14:val="tx1"/>
                  </w14:solidFill>
                </w14:textFill>
              </w:rPr>
              <w:t>常熟开关、上海人民(上联RM)、上海良信</w:t>
            </w:r>
          </w:p>
        </w:tc>
        <w:tc>
          <w:tcPr>
            <w:tcW w:w="1840" w:type="pct"/>
            <w:vMerge w:val="continue"/>
            <w:tcBorders>
              <w:left w:val="nil"/>
              <w:bottom w:val="single" w:color="auto" w:sz="4" w:space="0"/>
              <w:right w:val="single" w:color="auto" w:sz="4" w:space="0"/>
            </w:tcBorders>
            <w:vAlign w:val="center"/>
          </w:tcPr>
          <w:p>
            <w:pPr>
              <w:jc w:val="center"/>
              <w:textAlignment w:val="center"/>
              <w:rPr>
                <w:rFonts w:ascii="仿宋" w:hAnsi="仿宋" w:eastAsia="仿宋" w:cs="仿宋"/>
                <w:color w:val="000000" w:themeColor="text1"/>
                <w:sz w:val="24"/>
                <w14:textFill>
                  <w14:solidFill>
                    <w14:schemeClr w14:val="tx1"/>
                  </w14:solidFill>
                </w14:textFill>
              </w:rPr>
            </w:pPr>
          </w:p>
        </w:tc>
      </w:tr>
    </w:tbl>
    <w:p>
      <w:pPr>
        <w:spacing w:line="420" w:lineRule="exact"/>
        <w:ind w:firstLine="420" w:firstLineChars="200"/>
        <w:rPr>
          <w:rStyle w:val="58"/>
          <w:rFonts w:hAnsi="宋体"/>
          <w:sz w:val="22"/>
          <w:szCs w:val="22"/>
        </w:rPr>
      </w:pPr>
      <w:r>
        <w:rPr>
          <w:rFonts w:hint="eastAsia"/>
        </w:rPr>
        <w:t>注：</w:t>
      </w:r>
      <w:r>
        <w:rPr>
          <w:rStyle w:val="58"/>
          <w:rFonts w:hint="eastAsia" w:hAnsi="宋体"/>
          <w:sz w:val="22"/>
          <w:szCs w:val="22"/>
        </w:rPr>
        <w:t>在选择投标品牌及实际采购过程中，若发现各品牌间存在形成价格同盟或者垄断代理等影响公平竞争行为的，请投标人及时向招标人进行反映，经落实属实的，招标人可以视情况采取变更品牌库、以及对品牌方采取惩戒等措施。</w:t>
      </w:r>
    </w:p>
    <w:p/>
    <w:p>
      <w:pPr>
        <w:spacing w:before="120" w:after="120" w:line="480" w:lineRule="exact"/>
        <w:rPr>
          <w:rStyle w:val="58"/>
          <w:rFonts w:ascii="宋体" w:hAnsi="宋体"/>
        </w:rPr>
        <w:sectPr>
          <w:pgSz w:w="11906" w:h="16838"/>
          <w:pgMar w:top="1588" w:right="1701" w:bottom="1418" w:left="1701" w:header="851" w:footer="851" w:gutter="0"/>
          <w:cols w:space="720" w:num="1"/>
          <w:docGrid w:linePitch="312" w:charSpace="0"/>
        </w:sectPr>
      </w:pPr>
    </w:p>
    <w:p>
      <w:pPr>
        <w:pStyle w:val="5"/>
        <w:jc w:val="center"/>
        <w:rPr>
          <w:sz w:val="48"/>
          <w:szCs w:val="48"/>
        </w:rPr>
        <w:sectPr>
          <w:pgSz w:w="11906" w:h="16838"/>
          <w:pgMar w:top="1588" w:right="1701" w:bottom="1418" w:left="1701" w:header="851" w:footer="851" w:gutter="0"/>
          <w:cols w:space="720" w:num="1"/>
          <w:vAlign w:val="center"/>
          <w:docGrid w:linePitch="312" w:charSpace="0"/>
        </w:sectPr>
      </w:pPr>
      <w:bookmarkStart w:id="180" w:name="_Toc31859"/>
      <w:bookmarkStart w:id="181" w:name="_Toc211261928"/>
      <w:r>
        <w:rPr>
          <w:sz w:val="48"/>
          <w:szCs w:val="48"/>
        </w:rPr>
        <w:t>第四卷</w:t>
      </w:r>
      <w:bookmarkEnd w:id="180"/>
      <w:bookmarkEnd w:id="181"/>
    </w:p>
    <w:p>
      <w:pPr>
        <w:pStyle w:val="6"/>
        <w:jc w:val="center"/>
        <w:rPr>
          <w:i w:val="0"/>
          <w:iCs w:val="0"/>
          <w:sz w:val="32"/>
          <w:szCs w:val="32"/>
        </w:rPr>
      </w:pPr>
      <w:bookmarkStart w:id="182" w:name="_Toc28132"/>
      <w:bookmarkStart w:id="183" w:name="_Toc211261929"/>
      <w:bookmarkStart w:id="184" w:name="_Toc17817347"/>
      <w:r>
        <w:rPr>
          <w:i w:val="0"/>
          <w:iCs w:val="0"/>
          <w:sz w:val="32"/>
          <w:szCs w:val="32"/>
        </w:rPr>
        <w:t>第八章  投标文件格式</w:t>
      </w:r>
      <w:bookmarkEnd w:id="182"/>
      <w:bookmarkEnd w:id="183"/>
      <w:bookmarkEnd w:id="184"/>
    </w:p>
    <w:p>
      <w:pPr>
        <w:spacing w:before="120" w:after="120" w:line="480" w:lineRule="exact"/>
        <w:rPr>
          <w:rStyle w:val="58"/>
          <w:rFonts w:ascii="宋体" w:hAnsi="宋体"/>
        </w:rPr>
      </w:pPr>
    </w:p>
    <w:p>
      <w:pPr>
        <w:spacing w:before="120" w:after="120" w:line="480" w:lineRule="exact"/>
        <w:rPr>
          <w:rStyle w:val="58"/>
          <w:rFonts w:ascii="宋体" w:hAnsi="宋体"/>
        </w:rPr>
      </w:pPr>
    </w:p>
    <w:p>
      <w:pPr>
        <w:jc w:val="center"/>
        <w:rPr>
          <w:rStyle w:val="58"/>
          <w:rFonts w:ascii="宋体" w:hAnsi="宋体"/>
          <w:sz w:val="28"/>
          <w:szCs w:val="28"/>
          <w:u w:val="single"/>
        </w:rPr>
      </w:pPr>
      <w:r>
        <w:rPr>
          <w:rStyle w:val="58"/>
          <w:rFonts w:ascii="宋体" w:hAnsi="宋体"/>
          <w:sz w:val="28"/>
          <w:szCs w:val="28"/>
        </w:rPr>
        <w:t>（项目名称）</w:t>
      </w:r>
    </w:p>
    <w:p>
      <w:pPr>
        <w:spacing w:before="240"/>
        <w:jc w:val="center"/>
        <w:rPr>
          <w:rStyle w:val="58"/>
          <w:rFonts w:ascii="宋体" w:hAnsi="宋体"/>
          <w:sz w:val="44"/>
          <w:szCs w:val="44"/>
        </w:rPr>
      </w:pPr>
      <w:r>
        <w:rPr>
          <w:rStyle w:val="58"/>
          <w:rFonts w:ascii="宋体" w:hAnsi="宋体"/>
          <w:sz w:val="44"/>
          <w:szCs w:val="44"/>
        </w:rPr>
        <w:t>投  标  文  件</w:t>
      </w: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pStyle w:val="2"/>
        <w:ind w:left="420" w:firstLine="420"/>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spacing w:line="360" w:lineRule="auto"/>
        <w:jc w:val="center"/>
        <w:rPr>
          <w:rStyle w:val="58"/>
          <w:rFonts w:ascii="宋体" w:hAnsi="宋体"/>
          <w:sz w:val="28"/>
          <w:szCs w:val="28"/>
        </w:rPr>
      </w:pPr>
      <w:r>
        <w:rPr>
          <w:rStyle w:val="58"/>
          <w:rFonts w:ascii="宋体" w:hAnsi="宋体"/>
          <w:sz w:val="28"/>
          <w:szCs w:val="28"/>
        </w:rPr>
        <w:t>投标人：（盖单位公章）</w:t>
      </w:r>
    </w:p>
    <w:p>
      <w:pPr>
        <w:spacing w:line="360" w:lineRule="auto"/>
        <w:ind w:firstLine="980" w:firstLineChars="350"/>
        <w:rPr>
          <w:rStyle w:val="58"/>
          <w:rFonts w:ascii="宋体" w:hAnsi="宋体"/>
          <w:sz w:val="28"/>
          <w:szCs w:val="28"/>
        </w:rPr>
      </w:pPr>
      <w:r>
        <w:rPr>
          <w:rStyle w:val="58"/>
          <w:rFonts w:ascii="宋体" w:hAnsi="宋体"/>
          <w:sz w:val="28"/>
          <w:szCs w:val="28"/>
        </w:rPr>
        <w:t>法定代表人或其委托代理人：（签字或盖章）</w:t>
      </w:r>
    </w:p>
    <w:p>
      <w:pPr>
        <w:jc w:val="center"/>
        <w:rPr>
          <w:rStyle w:val="58"/>
          <w:rFonts w:ascii="宋体" w:hAnsi="宋体"/>
          <w:sz w:val="28"/>
          <w:szCs w:val="28"/>
        </w:rPr>
      </w:pPr>
    </w:p>
    <w:p>
      <w:pPr>
        <w:jc w:val="center"/>
        <w:rPr>
          <w:rStyle w:val="58"/>
          <w:rFonts w:ascii="宋体" w:hAnsi="宋体"/>
          <w:sz w:val="28"/>
          <w:szCs w:val="28"/>
        </w:rPr>
      </w:pPr>
    </w:p>
    <w:p>
      <w:pPr>
        <w:jc w:val="center"/>
        <w:rPr>
          <w:rStyle w:val="58"/>
          <w:rFonts w:ascii="宋体" w:hAnsi="宋体"/>
          <w:sz w:val="28"/>
          <w:szCs w:val="28"/>
        </w:rPr>
      </w:pPr>
      <w:r>
        <w:rPr>
          <w:rStyle w:val="58"/>
          <w:rFonts w:ascii="宋体" w:hAnsi="宋体"/>
          <w:sz w:val="28"/>
          <w:szCs w:val="28"/>
        </w:rPr>
        <w:t>年月日</w:t>
      </w:r>
      <w:r>
        <w:rPr>
          <w:rStyle w:val="58"/>
          <w:rFonts w:ascii="宋体" w:hAnsi="宋体"/>
          <w:sz w:val="28"/>
          <w:szCs w:val="28"/>
        </w:rPr>
        <w:br w:type="page"/>
      </w:r>
    </w:p>
    <w:p>
      <w:pPr>
        <w:jc w:val="center"/>
        <w:rPr>
          <w:rStyle w:val="58"/>
          <w:rFonts w:ascii="宋体" w:hAnsi="宋体"/>
          <w:sz w:val="28"/>
          <w:szCs w:val="28"/>
        </w:rPr>
      </w:pPr>
      <w:r>
        <w:rPr>
          <w:rStyle w:val="58"/>
          <w:rFonts w:ascii="宋体" w:hAnsi="宋体"/>
          <w:sz w:val="28"/>
          <w:szCs w:val="28"/>
        </w:rPr>
        <w:t>目    录</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投标函及投标函附录</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法定代表人身份证明</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授权委托书</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投标保证金</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已标价工程量清单</w:t>
      </w:r>
    </w:p>
    <w:p>
      <w:pPr>
        <w:pStyle w:val="67"/>
        <w:numPr>
          <w:ilvl w:val="0"/>
          <w:numId w:val="15"/>
        </w:numPr>
        <w:spacing w:line="600" w:lineRule="exact"/>
        <w:ind w:firstLineChars="0"/>
        <w:rPr>
          <w:rStyle w:val="58"/>
          <w:rFonts w:ascii="宋体" w:hAnsi="宋体"/>
        </w:rPr>
      </w:pPr>
      <w:r>
        <w:rPr>
          <w:rStyle w:val="58"/>
          <w:rFonts w:hint="eastAsia" w:ascii="宋体" w:hAnsi="宋体"/>
        </w:rPr>
        <w:t>施工组织设计</w:t>
      </w:r>
    </w:p>
    <w:p>
      <w:pPr>
        <w:pStyle w:val="67"/>
        <w:numPr>
          <w:ilvl w:val="0"/>
          <w:numId w:val="15"/>
        </w:numPr>
        <w:spacing w:line="600" w:lineRule="exact"/>
        <w:ind w:firstLineChars="0"/>
        <w:rPr>
          <w:rStyle w:val="58"/>
          <w:rFonts w:ascii="宋体" w:hAnsi="宋体"/>
          <w:szCs w:val="21"/>
        </w:rPr>
      </w:pPr>
      <w:r>
        <w:rPr>
          <w:rStyle w:val="58"/>
          <w:rFonts w:hint="eastAsia" w:ascii="宋体" w:hAnsi="宋体"/>
        </w:rPr>
        <w:sym w:font="Wingdings 2" w:char="F052"/>
      </w:r>
      <w:r>
        <w:rPr>
          <w:rStyle w:val="58"/>
          <w:rFonts w:ascii="宋体" w:hAnsi="宋体"/>
          <w:szCs w:val="21"/>
        </w:rPr>
        <w:t>项目管理机构</w:t>
      </w:r>
    </w:p>
    <w:p>
      <w:pPr>
        <w:pStyle w:val="67"/>
        <w:numPr>
          <w:ilvl w:val="0"/>
          <w:numId w:val="15"/>
        </w:numPr>
        <w:spacing w:line="600" w:lineRule="exact"/>
        <w:ind w:firstLineChars="0"/>
        <w:rPr>
          <w:rStyle w:val="58"/>
          <w:rFonts w:ascii="宋体" w:hAnsi="宋体"/>
          <w:szCs w:val="21"/>
        </w:rPr>
      </w:pPr>
      <w:r>
        <w:rPr>
          <w:rStyle w:val="58"/>
          <w:rFonts w:ascii="宋体" w:hAnsi="宋体"/>
          <w:szCs w:val="21"/>
        </w:rPr>
        <w:t>其他材料</w:t>
      </w:r>
    </w:p>
    <w:p>
      <w:pPr>
        <w:spacing w:line="600" w:lineRule="exact"/>
        <w:rPr>
          <w:rStyle w:val="58"/>
          <w:rFonts w:ascii="宋体" w:hAnsi="宋体"/>
          <w:szCs w:val="21"/>
        </w:rPr>
      </w:pPr>
    </w:p>
    <w:p>
      <w:pPr>
        <w:spacing w:line="600" w:lineRule="exact"/>
        <w:rPr>
          <w:rStyle w:val="58"/>
          <w:rFonts w:ascii="宋体" w:hAnsi="宋体"/>
          <w:szCs w:val="21"/>
        </w:rPr>
      </w:pPr>
    </w:p>
    <w:p>
      <w:pPr>
        <w:spacing w:line="600" w:lineRule="exact"/>
        <w:rPr>
          <w:rStyle w:val="58"/>
          <w:rFonts w:ascii="宋体" w:hAnsi="宋体"/>
          <w:szCs w:val="21"/>
        </w:rPr>
      </w:pPr>
    </w:p>
    <w:p>
      <w:pPr>
        <w:spacing w:line="600" w:lineRule="exact"/>
        <w:rPr>
          <w:rStyle w:val="58"/>
          <w:rFonts w:ascii="宋体" w:hAnsi="宋体"/>
          <w:szCs w:val="21"/>
        </w:rPr>
      </w:pPr>
    </w:p>
    <w:p>
      <w:pPr>
        <w:spacing w:line="600" w:lineRule="exact"/>
        <w:rPr>
          <w:rStyle w:val="58"/>
          <w:rFonts w:ascii="宋体" w:hAnsi="宋体"/>
          <w:szCs w:val="21"/>
        </w:rPr>
      </w:pPr>
    </w:p>
    <w:p>
      <w:pPr>
        <w:spacing w:line="600" w:lineRule="exact"/>
        <w:rPr>
          <w:rStyle w:val="58"/>
          <w:rFonts w:ascii="宋体" w:hAnsi="宋体"/>
          <w:szCs w:val="21"/>
        </w:rPr>
      </w:pPr>
      <w:r>
        <w:rPr>
          <w:rStyle w:val="58"/>
          <w:rFonts w:ascii="宋体" w:hAnsi="宋体"/>
          <w:szCs w:val="21"/>
        </w:rPr>
        <w:br w:type="page"/>
      </w:r>
    </w:p>
    <w:p>
      <w:pPr>
        <w:pStyle w:val="7"/>
        <w:spacing w:before="0" w:after="0" w:line="480" w:lineRule="auto"/>
        <w:jc w:val="center"/>
        <w:rPr>
          <w:sz w:val="30"/>
          <w:szCs w:val="30"/>
        </w:rPr>
      </w:pPr>
      <w:bookmarkStart w:id="185" w:name="_Toc211261930"/>
      <w:bookmarkStart w:id="186" w:name="_Toc23716"/>
      <w:bookmarkStart w:id="187" w:name="_Toc17817348"/>
      <w:bookmarkStart w:id="188" w:name="_Toc6538"/>
      <w:bookmarkStart w:id="189" w:name="_Toc16063994"/>
      <w:r>
        <w:rPr>
          <w:sz w:val="30"/>
          <w:szCs w:val="30"/>
        </w:rPr>
        <w:t>一、投标函及投标函附录</w:t>
      </w:r>
      <w:bookmarkEnd w:id="185"/>
      <w:bookmarkEnd w:id="186"/>
      <w:bookmarkEnd w:id="187"/>
      <w:bookmarkEnd w:id="188"/>
      <w:bookmarkEnd w:id="189"/>
    </w:p>
    <w:p>
      <w:pPr>
        <w:snapToGrid w:val="0"/>
        <w:spacing w:line="440" w:lineRule="exact"/>
        <w:ind w:firstLine="527" w:firstLineChars="250"/>
        <w:jc w:val="center"/>
        <w:rPr>
          <w:rStyle w:val="58"/>
          <w:rFonts w:ascii="宋体" w:hAnsi="宋体"/>
          <w:b/>
          <w:szCs w:val="21"/>
        </w:rPr>
      </w:pPr>
      <w:bookmarkStart w:id="190" w:name="_Toc16063995"/>
      <w:r>
        <w:rPr>
          <w:rStyle w:val="58"/>
          <w:rFonts w:ascii="宋体" w:hAnsi="宋体"/>
          <w:b/>
          <w:szCs w:val="21"/>
        </w:rPr>
        <w:t>（一）投标函</w:t>
      </w:r>
      <w:bookmarkEnd w:id="190"/>
    </w:p>
    <w:p>
      <w:pPr>
        <w:snapToGrid w:val="0"/>
        <w:spacing w:line="440" w:lineRule="exact"/>
        <w:ind w:firstLine="527" w:firstLineChars="250"/>
        <w:jc w:val="center"/>
        <w:rPr>
          <w:rStyle w:val="58"/>
          <w:rFonts w:ascii="宋体" w:hAnsi="宋体"/>
          <w:b/>
          <w:szCs w:val="21"/>
        </w:rPr>
      </w:pPr>
    </w:p>
    <w:p>
      <w:pPr>
        <w:spacing w:line="480" w:lineRule="exact"/>
        <w:rPr>
          <w:rStyle w:val="58"/>
          <w:rFonts w:ascii="宋体" w:hAnsi="宋体"/>
        </w:rPr>
      </w:pPr>
      <w:r>
        <w:rPr>
          <w:rStyle w:val="58"/>
          <w:rFonts w:ascii="宋体" w:hAnsi="宋体"/>
        </w:rPr>
        <w:t>致：（招标人名称）</w:t>
      </w:r>
    </w:p>
    <w:p>
      <w:pPr>
        <w:spacing w:line="480" w:lineRule="exact"/>
        <w:ind w:firstLine="420" w:firstLineChars="200"/>
        <w:rPr>
          <w:rStyle w:val="58"/>
          <w:rFonts w:ascii="宋体" w:hAnsi="宋体"/>
        </w:rPr>
      </w:pPr>
      <w:r>
        <w:rPr>
          <w:rStyle w:val="58"/>
          <w:rFonts w:ascii="宋体" w:hAnsi="宋体"/>
        </w:rPr>
        <w:t>根据已收到贵方的招标编号为</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 xml:space="preserve"> 的</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 xml:space="preserve"> 工程的招标文件，遵照《中华人民共和国招标投标法》等有关规定，我方经考察现场和研究上述招标文件的投标须知、合同条款、技术规范、图纸和工程量清单及其他有关文件后，我方愿以工程唱标单中的投标报价，并按上述图纸、合同条款、技术规范和工程量清单的条件要求承包上述工程的施工、竣工并承担任何质量缺陷保修责任。</w:t>
      </w:r>
    </w:p>
    <w:p>
      <w:pPr>
        <w:spacing w:line="480" w:lineRule="exact"/>
        <w:ind w:firstLine="420" w:firstLineChars="200"/>
        <w:rPr>
          <w:rStyle w:val="58"/>
          <w:rFonts w:ascii="宋体" w:hAnsi="宋体"/>
        </w:rPr>
      </w:pPr>
      <w:r>
        <w:rPr>
          <w:rStyle w:val="58"/>
          <w:rFonts w:ascii="宋体" w:hAnsi="宋体"/>
        </w:rPr>
        <w:t>如果我方中标，我方保证在</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年</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月</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日或按照合同约定的开工日期开始本工程的施工，</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天内竣工，并确保工程质量合格。我方同意本投标函在招标文件规定的提交投标文件截止时间后</w:t>
      </w:r>
      <w:r>
        <w:rPr>
          <w:rStyle w:val="58"/>
          <w:rFonts w:hint="eastAsia" w:ascii="宋体" w:hAnsi="宋体"/>
        </w:rPr>
        <w:t>、</w:t>
      </w:r>
      <w:r>
        <w:rPr>
          <w:rStyle w:val="58"/>
          <w:rFonts w:ascii="宋体" w:hAnsi="宋体"/>
        </w:rPr>
        <w:t>在招标文件规定的投标有效期期满前对我方具有约束力，且随时准备接受你方发出的中标通知书。</w:t>
      </w:r>
    </w:p>
    <w:p>
      <w:pPr>
        <w:spacing w:line="480" w:lineRule="exact"/>
        <w:ind w:firstLine="420" w:firstLineChars="200"/>
        <w:rPr>
          <w:rStyle w:val="58"/>
          <w:rFonts w:ascii="宋体" w:hAnsi="宋体"/>
        </w:rPr>
      </w:pPr>
      <w:r>
        <w:rPr>
          <w:rStyle w:val="58"/>
          <w:rFonts w:ascii="宋体" w:hAnsi="宋体"/>
        </w:rPr>
        <w:t>随本投标函递交的投标函附录是本投标函的组成部分，对我方构成约束力。</w:t>
      </w:r>
    </w:p>
    <w:p>
      <w:pPr>
        <w:spacing w:line="480" w:lineRule="exact"/>
        <w:ind w:firstLine="420" w:firstLineChars="200"/>
        <w:rPr>
          <w:rStyle w:val="58"/>
          <w:rFonts w:ascii="宋体" w:hAnsi="宋体"/>
        </w:rPr>
      </w:pPr>
      <w:r>
        <w:rPr>
          <w:rStyle w:val="58"/>
          <w:rFonts w:ascii="宋体" w:hAnsi="宋体"/>
        </w:rPr>
        <w:t>随同本投标函递交投标保证金一份，金额为人民币（大写）：</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元（</w:t>
      </w:r>
      <w:r>
        <w:rPr>
          <w:rStyle w:val="58"/>
          <w:rFonts w:hint="eastAsia" w:ascii="宋体" w:hAnsi="宋体"/>
        </w:rPr>
        <w:t>¥</w:t>
      </w:r>
      <w:r>
        <w:rPr>
          <w:rStyle w:val="58"/>
          <w:rFonts w:hint="eastAsia" w:ascii="宋体" w:hAnsi="宋体"/>
          <w:u w:val="single"/>
        </w:rPr>
        <w:t xml:space="preserve"> </w:t>
      </w:r>
      <w:r>
        <w:rPr>
          <w:rStyle w:val="58"/>
          <w:rFonts w:ascii="宋体" w:hAnsi="宋体"/>
          <w:u w:val="single"/>
        </w:rPr>
        <w:t xml:space="preserve">    </w:t>
      </w:r>
      <w:r>
        <w:rPr>
          <w:rStyle w:val="58"/>
          <w:rFonts w:ascii="宋体" w:hAnsi="宋体"/>
        </w:rPr>
        <w:t>元）。</w:t>
      </w:r>
    </w:p>
    <w:p>
      <w:pPr>
        <w:spacing w:line="480" w:lineRule="exact"/>
        <w:ind w:firstLine="420" w:firstLineChars="200"/>
        <w:rPr>
          <w:rStyle w:val="58"/>
          <w:rFonts w:ascii="宋体" w:hAnsi="宋体"/>
        </w:rPr>
      </w:pPr>
      <w:r>
        <w:rPr>
          <w:rStyle w:val="58"/>
          <w:rFonts w:ascii="宋体" w:hAnsi="宋体"/>
        </w:rPr>
        <w:t>在签署协议书之前，你方中标通知书连同本投标函，包括投标函附录，对双方具有约束力。</w:t>
      </w:r>
    </w:p>
    <w:p>
      <w:pPr>
        <w:spacing w:line="480" w:lineRule="exact"/>
        <w:ind w:firstLine="420" w:firstLineChars="200"/>
        <w:rPr>
          <w:rStyle w:val="58"/>
          <w:rFonts w:ascii="宋体" w:hAnsi="宋体"/>
        </w:rPr>
      </w:pPr>
      <w:r>
        <w:rPr>
          <w:rStyle w:val="58"/>
          <w:rFonts w:ascii="宋体" w:hAnsi="宋体"/>
        </w:rPr>
        <w:t>我公司承诺遵守贵公司由于招标人公司政策变化引起的随时终止项目的要求并承担由此带来的一切损失。</w:t>
      </w:r>
    </w:p>
    <w:p>
      <w:pPr>
        <w:pStyle w:val="19"/>
      </w:pPr>
    </w:p>
    <w:p>
      <w:pPr>
        <w:spacing w:line="200" w:lineRule="exact"/>
        <w:ind w:firstLine="420" w:firstLineChars="200"/>
        <w:rPr>
          <w:rStyle w:val="58"/>
          <w:rFonts w:ascii="宋体" w:hAnsi="宋体"/>
        </w:rPr>
      </w:pPr>
    </w:p>
    <w:p>
      <w:pPr>
        <w:spacing w:line="480" w:lineRule="exact"/>
        <w:rPr>
          <w:rStyle w:val="58"/>
          <w:rFonts w:ascii="宋体" w:hAnsi="宋体"/>
        </w:rPr>
      </w:pPr>
      <w:r>
        <w:rPr>
          <w:rStyle w:val="58"/>
          <w:rFonts w:ascii="宋体" w:hAnsi="宋体"/>
        </w:rPr>
        <w:t>投  标  人（盖单位公章）：</w:t>
      </w:r>
    </w:p>
    <w:p>
      <w:pPr>
        <w:spacing w:line="480" w:lineRule="exact"/>
        <w:rPr>
          <w:rStyle w:val="58"/>
          <w:rFonts w:ascii="宋体" w:hAnsi="宋体"/>
        </w:rPr>
      </w:pPr>
      <w:r>
        <w:rPr>
          <w:rStyle w:val="58"/>
          <w:rFonts w:ascii="宋体" w:hAnsi="宋体"/>
        </w:rPr>
        <w:t>法人代表或委托代理人（签字或盖章）：</w:t>
      </w:r>
    </w:p>
    <w:p>
      <w:pPr>
        <w:spacing w:line="480" w:lineRule="exact"/>
        <w:rPr>
          <w:rStyle w:val="58"/>
          <w:rFonts w:ascii="宋体" w:hAnsi="宋体"/>
        </w:rPr>
      </w:pPr>
      <w:r>
        <w:rPr>
          <w:rStyle w:val="58"/>
          <w:rFonts w:ascii="宋体" w:hAnsi="宋体"/>
        </w:rPr>
        <w:t>日  期：</w:t>
      </w:r>
      <w:r>
        <w:rPr>
          <w:rStyle w:val="58"/>
          <w:rFonts w:hint="eastAsia" w:ascii="宋体" w:hAnsi="宋体"/>
        </w:rPr>
        <w:t xml:space="preserve"> </w:t>
      </w:r>
      <w:r>
        <w:rPr>
          <w:rStyle w:val="58"/>
          <w:rFonts w:ascii="宋体" w:hAnsi="宋体"/>
        </w:rPr>
        <w:t xml:space="preserve">   年</w:t>
      </w:r>
      <w:r>
        <w:rPr>
          <w:rStyle w:val="58"/>
          <w:rFonts w:hint="eastAsia" w:ascii="宋体" w:hAnsi="宋体"/>
        </w:rPr>
        <w:t xml:space="preserve"> </w:t>
      </w:r>
      <w:r>
        <w:rPr>
          <w:rStyle w:val="58"/>
          <w:rFonts w:ascii="宋体" w:hAnsi="宋体"/>
        </w:rPr>
        <w:t xml:space="preserve">   月</w:t>
      </w:r>
      <w:r>
        <w:rPr>
          <w:rStyle w:val="58"/>
          <w:rFonts w:hint="eastAsia" w:ascii="宋体" w:hAnsi="宋体"/>
        </w:rPr>
        <w:t xml:space="preserve"> </w:t>
      </w:r>
      <w:r>
        <w:rPr>
          <w:rStyle w:val="58"/>
          <w:rFonts w:ascii="宋体" w:hAnsi="宋体"/>
        </w:rPr>
        <w:t xml:space="preserve">   日</w:t>
      </w:r>
    </w:p>
    <w:p>
      <w:pPr>
        <w:spacing w:line="200" w:lineRule="exact"/>
        <w:ind w:firstLine="420" w:firstLineChars="200"/>
        <w:rPr>
          <w:rStyle w:val="58"/>
          <w:rFonts w:ascii="宋体" w:hAnsi="宋体"/>
        </w:rPr>
      </w:pPr>
    </w:p>
    <w:p>
      <w:pPr>
        <w:rPr>
          <w:rStyle w:val="58"/>
          <w:rFonts w:ascii="宋体" w:hAnsi="宋体"/>
        </w:rPr>
      </w:pPr>
    </w:p>
    <w:p>
      <w:pPr>
        <w:rPr>
          <w:rStyle w:val="58"/>
          <w:rFonts w:ascii="宋体" w:hAnsi="宋体"/>
        </w:rPr>
      </w:pPr>
    </w:p>
    <w:p>
      <w:pPr>
        <w:spacing w:before="240" w:after="120" w:line="510" w:lineRule="exact"/>
        <w:jc w:val="center"/>
        <w:rPr>
          <w:rStyle w:val="58"/>
          <w:rFonts w:ascii="宋体" w:hAnsi="宋体"/>
          <w:b/>
        </w:rPr>
      </w:pPr>
      <w:r>
        <w:rPr>
          <w:rStyle w:val="58"/>
          <w:rFonts w:ascii="宋体" w:hAnsi="宋体"/>
          <w:b/>
        </w:rPr>
        <w:br w:type="page"/>
      </w:r>
    </w:p>
    <w:p>
      <w:pPr>
        <w:snapToGrid w:val="0"/>
        <w:spacing w:line="440" w:lineRule="exact"/>
        <w:jc w:val="center"/>
        <w:rPr>
          <w:rStyle w:val="58"/>
          <w:rFonts w:ascii="宋体" w:hAnsi="宋体"/>
          <w:b/>
          <w:szCs w:val="21"/>
        </w:rPr>
      </w:pPr>
      <w:bookmarkStart w:id="191" w:name="_Toc16063996"/>
      <w:r>
        <w:rPr>
          <w:rStyle w:val="58"/>
          <w:rFonts w:ascii="宋体" w:hAnsi="宋体"/>
          <w:b/>
          <w:szCs w:val="21"/>
        </w:rPr>
        <w:t>（二）投标函附录-1</w:t>
      </w:r>
      <w:bookmarkEnd w:id="191"/>
    </w:p>
    <w:p>
      <w:pPr>
        <w:spacing w:line="360" w:lineRule="auto"/>
        <w:ind w:firstLine="278" w:firstLineChars="99"/>
        <w:jc w:val="center"/>
        <w:rPr>
          <w:rStyle w:val="58"/>
          <w:rFonts w:ascii="宋体" w:hAnsi="宋体"/>
          <w:b/>
          <w:bCs/>
          <w:sz w:val="28"/>
          <w:szCs w:val="28"/>
        </w:rPr>
      </w:pPr>
      <w:r>
        <w:rPr>
          <w:rStyle w:val="58"/>
          <w:rFonts w:ascii="宋体" w:hAnsi="宋体"/>
          <w:b/>
          <w:bCs/>
          <w:sz w:val="28"/>
          <w:szCs w:val="28"/>
        </w:rPr>
        <w:t>工程唱标单（格式）</w:t>
      </w:r>
    </w:p>
    <w:tbl>
      <w:tblPr>
        <w:tblStyle w:val="37"/>
        <w:tblW w:w="981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81"/>
        <w:gridCol w:w="2180"/>
        <w:gridCol w:w="1235"/>
        <w:gridCol w:w="2114"/>
        <w:gridCol w:w="1807"/>
        <w:gridCol w:w="120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2"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Style w:val="58"/>
                <w:rFonts w:ascii="宋体" w:hAnsi="宋体"/>
                <w:bCs/>
                <w:szCs w:val="21"/>
              </w:rPr>
            </w:pPr>
            <w:r>
              <w:rPr>
                <w:rStyle w:val="58"/>
                <w:rFonts w:ascii="宋体" w:hAnsi="宋体"/>
                <w:bCs/>
                <w:szCs w:val="21"/>
              </w:rPr>
              <w:t xml:space="preserve">投标人：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3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Style w:val="58"/>
                <w:rFonts w:ascii="宋体" w:hAnsi="宋体"/>
                <w:bCs/>
                <w:szCs w:val="21"/>
              </w:rPr>
            </w:pPr>
            <w:r>
              <w:rPr>
                <w:rStyle w:val="58"/>
                <w:rFonts w:ascii="宋体" w:hAnsi="宋体"/>
                <w:bCs/>
                <w:szCs w:val="21"/>
              </w:rPr>
              <w:t xml:space="preserve">工程名称：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11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Fonts w:ascii="宋体" w:hAnsi="宋体" w:cs="宋体"/>
                <w:b/>
                <w:bCs/>
              </w:rPr>
            </w:pPr>
            <w:r>
              <w:rPr>
                <w:rFonts w:hint="eastAsia" w:ascii="宋体" w:hAnsi="宋体" w:cs="宋体"/>
                <w:b/>
                <w:bCs/>
              </w:rPr>
              <w:t>投标总价：</w:t>
            </w:r>
          </w:p>
          <w:p>
            <w:pPr>
              <w:ind w:firstLine="420" w:firstLineChars="200"/>
              <w:rPr>
                <w:rFonts w:ascii="宋体" w:hAnsi="宋体" w:cs="宋体"/>
              </w:rPr>
            </w:pPr>
            <w:r>
              <w:rPr>
                <w:rFonts w:hint="eastAsia" w:ascii="宋体" w:hAnsi="宋体" w:cs="宋体"/>
              </w:rPr>
              <w:t>不含税报价：大写：人民币      元（小写：¥      元）；</w:t>
            </w:r>
          </w:p>
          <w:p>
            <w:pPr>
              <w:ind w:firstLine="420" w:firstLineChars="200"/>
              <w:rPr>
                <w:rFonts w:ascii="宋体" w:hAnsi="宋体" w:cs="宋体"/>
              </w:rPr>
            </w:pPr>
            <w:r>
              <w:rPr>
                <w:rFonts w:hint="eastAsia" w:ascii="宋体" w:hAnsi="宋体" w:cs="宋体"/>
              </w:rPr>
              <w:t>含税报价：大写：人民币      元（小写：¥      元），含9%增值税。</w:t>
            </w:r>
            <w:r>
              <w:rPr>
                <w:rFonts w:hint="eastAsia" w:ascii="宋体" w:hAnsi="宋体" w:cs="宋体"/>
                <w:i/>
                <w:iCs/>
                <w:color w:val="FF0000"/>
              </w:rPr>
              <w:t xml:space="preserve"> </w:t>
            </w:r>
          </w:p>
          <w:p>
            <w:pPr>
              <w:ind w:firstLine="420" w:firstLineChars="200"/>
              <w:rPr>
                <w:rFonts w:ascii="宋体" w:hAnsi="宋体" w:cs="宋体"/>
              </w:rPr>
            </w:pPr>
            <w:r>
              <w:rPr>
                <w:rFonts w:hint="eastAsia" w:ascii="宋体" w:hAnsi="宋体" w:cs="宋体"/>
              </w:rPr>
              <w:t>清单外让利：</w:t>
            </w:r>
            <w:r>
              <w:rPr>
                <w:rFonts w:hint="eastAsia" w:ascii="宋体" w:hAnsi="宋体" w:cs="宋体"/>
                <w:u w:val="single"/>
              </w:rPr>
              <w:t xml:space="preserve">  </w:t>
            </w:r>
            <w:r>
              <w:rPr>
                <w:rFonts w:ascii="宋体" w:hAnsi="宋体" w:cs="宋体"/>
                <w:u w:val="single"/>
              </w:rPr>
              <w:t>5</w:t>
            </w:r>
            <w:r>
              <w:rPr>
                <w:rFonts w:hint="eastAsia" w:ascii="宋体" w:hAnsi="宋体" w:cs="宋体"/>
                <w:u w:val="single"/>
              </w:rPr>
              <w:t xml:space="preserve">  </w:t>
            </w:r>
            <w:r>
              <w:rPr>
                <w:rFonts w:hint="eastAsia" w:ascii="宋体" w:hAnsi="宋体" w:cs="宋体"/>
              </w:rPr>
              <w:t>%；计日工单价</w:t>
            </w:r>
            <w:r>
              <w:rPr>
                <w:rFonts w:hint="eastAsia" w:ascii="宋体" w:hAnsi="宋体" w:cs="宋体"/>
                <w:b/>
                <w:bCs/>
              </w:rPr>
              <w:t>（全费用）</w:t>
            </w:r>
            <w:r>
              <w:rPr>
                <w:rFonts w:hint="eastAsia" w:ascii="宋体" w:hAnsi="宋体" w:cs="宋体"/>
              </w:rPr>
              <w:t>：</w:t>
            </w:r>
            <w:r>
              <w:rPr>
                <w:rFonts w:hint="eastAsia" w:ascii="宋体" w:hAnsi="宋体" w:cs="宋体"/>
                <w:u w:val="single"/>
              </w:rPr>
              <w:t xml:space="preserve"> </w:t>
            </w:r>
            <w:r>
              <w:rPr>
                <w:rFonts w:ascii="宋体" w:hAnsi="宋体" w:cs="宋体"/>
                <w:u w:val="single"/>
              </w:rPr>
              <w:t>220</w:t>
            </w:r>
            <w:r>
              <w:rPr>
                <w:rFonts w:hint="eastAsia" w:ascii="宋体" w:hAnsi="宋体" w:cs="宋体"/>
                <w:u w:val="single"/>
              </w:rPr>
              <w:t xml:space="preserve"> </w:t>
            </w:r>
            <w:r>
              <w:rPr>
                <w:rFonts w:hint="eastAsia" w:ascii="宋体" w:hAnsi="宋体" w:cs="宋体"/>
              </w:rPr>
              <w:t>元/工日。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1"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r>
              <w:rPr>
                <w:rStyle w:val="58"/>
                <w:rFonts w:ascii="宋体" w:hAnsi="宋体"/>
                <w:bCs/>
                <w:szCs w:val="21"/>
              </w:rPr>
              <w:t>投标工期</w:t>
            </w:r>
          </w:p>
        </w:tc>
        <w:tc>
          <w:tcPr>
            <w:tcW w:w="8538" w:type="dxa"/>
            <w:gridSpan w:val="5"/>
            <w:tcBorders>
              <w:top w:val="single" w:color="000000" w:sz="4" w:space="0"/>
              <w:left w:val="single" w:color="000000" w:sz="4" w:space="0"/>
              <w:bottom w:val="single" w:color="000000" w:sz="4" w:space="0"/>
              <w:right w:val="single" w:color="000000" w:sz="4" w:space="0"/>
            </w:tcBorders>
            <w:vAlign w:val="bottom"/>
          </w:tcPr>
          <w:p>
            <w:pPr>
              <w:spacing w:line="276" w:lineRule="auto"/>
              <w:rPr>
                <w:rStyle w:val="58"/>
                <w:rFonts w:ascii="宋体" w:hAnsi="宋体"/>
                <w:szCs w:val="21"/>
              </w:rPr>
            </w:pPr>
            <w:r>
              <w:rPr>
                <w:rStyle w:val="58"/>
                <w:rFonts w:ascii="宋体" w:hAnsi="宋体"/>
                <w:szCs w:val="21"/>
              </w:rPr>
              <w:t>计划总工期</w:t>
            </w:r>
            <w:r>
              <w:rPr>
                <w:rStyle w:val="58"/>
                <w:rFonts w:ascii="宋体" w:hAnsi="宋体"/>
                <w:szCs w:val="21"/>
                <w:u w:val="single"/>
              </w:rPr>
              <w:t xml:space="preserve">：   </w:t>
            </w:r>
            <w:r>
              <w:rPr>
                <w:rStyle w:val="58"/>
                <w:rFonts w:ascii="宋体" w:hAnsi="宋体"/>
                <w:szCs w:val="21"/>
              </w:rPr>
              <w:t>日历天</w:t>
            </w:r>
            <w:r>
              <w:rPr>
                <w:rStyle w:val="58"/>
                <w:rFonts w:hint="eastAsia" w:ascii="宋体" w:hAnsi="宋体"/>
                <w:szCs w:val="21"/>
              </w:rPr>
              <w:t>（以收到招标人中标通知之日起计算）</w:t>
            </w:r>
            <w:r>
              <w:rPr>
                <w:rStyle w:val="58"/>
                <w:rFonts w:ascii="宋体" w:hAnsi="宋体"/>
                <w:szCs w:val="21"/>
              </w:rPr>
              <w:t>；</w:t>
            </w:r>
          </w:p>
          <w:p>
            <w:pPr>
              <w:spacing w:line="276" w:lineRule="auto"/>
              <w:rPr>
                <w:rStyle w:val="58"/>
                <w:rFonts w:ascii="宋体" w:hAnsi="宋体"/>
                <w:szCs w:val="21"/>
              </w:rPr>
            </w:pPr>
            <w:r>
              <w:rPr>
                <w:rStyle w:val="58"/>
                <w:rFonts w:ascii="宋体" w:hAnsi="宋体"/>
                <w:szCs w:val="21"/>
              </w:rPr>
              <w:t>计划开工日期：20</w:t>
            </w:r>
            <w:r>
              <w:rPr>
                <w:rStyle w:val="58"/>
                <w:rFonts w:hint="eastAsia" w:ascii="宋体" w:hAnsi="宋体"/>
                <w:szCs w:val="21"/>
              </w:rPr>
              <w:t>2</w:t>
            </w:r>
            <w:r>
              <w:rPr>
                <w:rStyle w:val="58"/>
                <w:rFonts w:ascii="宋体" w:hAnsi="宋体"/>
                <w:szCs w:val="21"/>
              </w:rPr>
              <w:t>5年</w:t>
            </w:r>
            <w:r>
              <w:rPr>
                <w:rStyle w:val="58"/>
                <w:rFonts w:hint="eastAsia" w:ascii="宋体" w:hAnsi="宋体"/>
                <w:szCs w:val="21"/>
              </w:rPr>
              <w:t xml:space="preserve"> </w:t>
            </w:r>
            <w:r>
              <w:rPr>
                <w:rStyle w:val="58"/>
                <w:rFonts w:ascii="宋体" w:hAnsi="宋体"/>
                <w:szCs w:val="21"/>
              </w:rPr>
              <w:t>月</w:t>
            </w:r>
            <w:r>
              <w:rPr>
                <w:rStyle w:val="58"/>
                <w:rFonts w:hint="eastAsia" w:ascii="宋体" w:hAnsi="宋体"/>
                <w:szCs w:val="21"/>
              </w:rPr>
              <w:t xml:space="preserve"> </w:t>
            </w:r>
            <w:r>
              <w:rPr>
                <w:rStyle w:val="58"/>
                <w:rFonts w:ascii="宋体" w:hAnsi="宋体"/>
                <w:szCs w:val="21"/>
              </w:rPr>
              <w:t>日；</w:t>
            </w:r>
          </w:p>
          <w:p>
            <w:pPr>
              <w:rPr>
                <w:rStyle w:val="58"/>
                <w:rFonts w:ascii="宋体" w:hAnsi="宋体"/>
                <w:bCs/>
                <w:szCs w:val="21"/>
              </w:rPr>
            </w:pPr>
            <w:r>
              <w:rPr>
                <w:rStyle w:val="58"/>
                <w:rFonts w:ascii="宋体" w:hAnsi="宋体"/>
                <w:szCs w:val="21"/>
              </w:rPr>
              <w:t>计划竣工日期：20</w:t>
            </w:r>
            <w:r>
              <w:rPr>
                <w:rStyle w:val="58"/>
                <w:rFonts w:hint="eastAsia" w:ascii="宋体" w:hAnsi="宋体"/>
                <w:szCs w:val="21"/>
              </w:rPr>
              <w:t>2</w:t>
            </w:r>
            <w:r>
              <w:rPr>
                <w:rStyle w:val="58"/>
                <w:rFonts w:ascii="宋体" w:hAnsi="宋体"/>
                <w:szCs w:val="21"/>
              </w:rPr>
              <w:t>5年</w:t>
            </w:r>
            <w:r>
              <w:rPr>
                <w:rStyle w:val="58"/>
                <w:rFonts w:hint="eastAsia" w:ascii="宋体" w:hAnsi="宋体"/>
                <w:szCs w:val="21"/>
              </w:rPr>
              <w:t xml:space="preserve"> </w:t>
            </w:r>
            <w:r>
              <w:rPr>
                <w:rStyle w:val="58"/>
                <w:rFonts w:ascii="宋体" w:hAnsi="宋体"/>
                <w:szCs w:val="21"/>
              </w:rPr>
              <w:t>月</w:t>
            </w:r>
            <w:r>
              <w:rPr>
                <w:rStyle w:val="58"/>
                <w:rFonts w:hint="eastAsia" w:ascii="宋体" w:hAnsi="宋体"/>
                <w:szCs w:val="21"/>
              </w:rPr>
              <w:t xml:space="preserve"> </w:t>
            </w:r>
            <w:r>
              <w:rPr>
                <w:rStyle w:val="58"/>
                <w:rFonts w:ascii="宋体" w:hAnsi="宋体"/>
                <w:szCs w:val="21"/>
              </w:rPr>
              <w:t>日。</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39" w:hRule="atLeast"/>
          <w:jc w:val="center"/>
        </w:trPr>
        <w:tc>
          <w:tcPr>
            <w:tcW w:w="128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r>
              <w:rPr>
                <w:rStyle w:val="58"/>
                <w:rFonts w:ascii="宋体" w:hAnsi="宋体"/>
                <w:bCs/>
                <w:szCs w:val="21"/>
              </w:rPr>
              <w:t>项目经理</w:t>
            </w:r>
          </w:p>
        </w:tc>
        <w:tc>
          <w:tcPr>
            <w:tcW w:w="218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p>
        </w:tc>
        <w:tc>
          <w:tcPr>
            <w:tcW w:w="123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r>
              <w:rPr>
                <w:rStyle w:val="58"/>
                <w:rFonts w:ascii="宋体" w:hAnsi="宋体"/>
                <w:bCs/>
                <w:szCs w:val="21"/>
              </w:rPr>
              <w:t>级别</w:t>
            </w:r>
          </w:p>
        </w:tc>
        <w:tc>
          <w:tcPr>
            <w:tcW w:w="211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p>
        </w:tc>
        <w:tc>
          <w:tcPr>
            <w:tcW w:w="180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r>
              <w:rPr>
                <w:rStyle w:val="58"/>
                <w:rFonts w:ascii="宋体" w:hAnsi="宋体"/>
                <w:bCs/>
                <w:szCs w:val="21"/>
              </w:rPr>
              <w:t>编号</w:t>
            </w:r>
          </w:p>
        </w:tc>
        <w:tc>
          <w:tcPr>
            <w:tcW w:w="120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bCs/>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95"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b/>
                <w:bCs/>
              </w:rPr>
            </w:pPr>
            <w:r>
              <w:rPr>
                <w:b/>
                <w:bCs/>
              </w:rPr>
              <w:t>承诺拟派项目班子成员始终在工地现场管理，不擅自更换、不兼职其他工程项目，如确有原因须更换，应事先征得业主同意。</w:t>
            </w:r>
          </w:p>
          <w:p>
            <w:pPr>
              <w:pStyle w:val="2"/>
              <w:spacing w:after="0"/>
              <w:ind w:left="0" w:leftChars="0" w:firstLine="0" w:firstLineChars="0"/>
            </w:pPr>
            <w:r>
              <w:rPr>
                <w:rStyle w:val="58"/>
                <w:rFonts w:hint="eastAsia" w:ascii="宋体" w:hAnsi="宋体"/>
                <w:b/>
                <w:szCs w:val="21"/>
              </w:rPr>
              <w:t>我方报价及清单外让利已充分考虑了招标清单外增加施工内容的风险，我方认可并严格执行招标文件约定的清单外结算原则。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cantSplit/>
          <w:trHeight w:val="357"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Style w:val="58"/>
                <w:rFonts w:ascii="宋体" w:hAnsi="宋体"/>
                <w:bCs/>
                <w:szCs w:val="21"/>
              </w:rPr>
            </w:pPr>
            <w:r>
              <w:rPr>
                <w:rStyle w:val="58"/>
                <w:rFonts w:ascii="宋体" w:hAnsi="宋体"/>
                <w:bCs/>
                <w:szCs w:val="21"/>
              </w:rPr>
              <w:t>质量</w:t>
            </w:r>
            <w:r>
              <w:rPr>
                <w:rStyle w:val="58"/>
                <w:rFonts w:hint="eastAsia" w:ascii="宋体" w:hAnsi="宋体"/>
                <w:bCs/>
                <w:szCs w:val="21"/>
              </w:rPr>
              <w:t>标准</w:t>
            </w:r>
            <w:r>
              <w:rPr>
                <w:rStyle w:val="58"/>
                <w:rFonts w:ascii="宋体" w:hAnsi="宋体"/>
                <w:bCs/>
                <w:szCs w:val="21"/>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277"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Style w:val="58"/>
                <w:rFonts w:ascii="宋体" w:hAnsi="宋体"/>
                <w:bCs/>
                <w:szCs w:val="21"/>
              </w:rPr>
            </w:pPr>
            <w:r>
              <w:rPr>
                <w:rStyle w:val="58"/>
                <w:rFonts w:ascii="宋体" w:hAnsi="宋体"/>
                <w:bCs/>
                <w:szCs w:val="21"/>
              </w:rPr>
              <w:t>本投标人完全认同招标文件的各项条款要求。</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49" w:hRule="atLeast"/>
          <w:jc w:val="center"/>
        </w:trPr>
        <w:tc>
          <w:tcPr>
            <w:tcW w:w="9819" w:type="dxa"/>
            <w:gridSpan w:val="6"/>
            <w:tcBorders>
              <w:top w:val="single" w:color="000000" w:sz="4" w:space="0"/>
              <w:left w:val="single" w:color="000000" w:sz="4" w:space="0"/>
              <w:bottom w:val="single" w:color="000000" w:sz="4" w:space="0"/>
              <w:right w:val="single" w:color="000000" w:sz="4" w:space="0"/>
            </w:tcBorders>
            <w:vAlign w:val="center"/>
          </w:tcPr>
          <w:p>
            <w:pPr>
              <w:rPr>
                <w:rStyle w:val="58"/>
                <w:rFonts w:ascii="宋体" w:hAnsi="宋体"/>
                <w:bCs/>
                <w:szCs w:val="21"/>
              </w:rPr>
            </w:pPr>
            <w:r>
              <w:rPr>
                <w:rStyle w:val="58"/>
                <w:rFonts w:ascii="宋体" w:hAnsi="宋体"/>
                <w:bCs/>
                <w:szCs w:val="21"/>
              </w:rPr>
              <w:t>投标人现场确认（签字）：</w:t>
            </w:r>
          </w:p>
        </w:tc>
      </w:tr>
    </w:tbl>
    <w:p>
      <w:pPr>
        <w:spacing w:line="400" w:lineRule="exact"/>
        <w:ind w:firstLine="209" w:firstLineChars="99"/>
        <w:rPr>
          <w:rStyle w:val="58"/>
          <w:rFonts w:ascii="宋体" w:hAnsi="宋体"/>
          <w:b/>
          <w:bCs/>
          <w:szCs w:val="21"/>
        </w:rPr>
      </w:pPr>
      <w:r>
        <w:rPr>
          <w:rStyle w:val="58"/>
          <w:rFonts w:ascii="宋体" w:hAnsi="宋体"/>
          <w:b/>
          <w:bCs/>
          <w:szCs w:val="21"/>
        </w:rPr>
        <w:t>投标人（盖单位公章）</w:t>
      </w:r>
    </w:p>
    <w:p>
      <w:pPr>
        <w:spacing w:line="400" w:lineRule="exact"/>
        <w:ind w:firstLine="209" w:firstLineChars="99"/>
        <w:rPr>
          <w:rStyle w:val="58"/>
          <w:rFonts w:ascii="宋体" w:hAnsi="宋体"/>
          <w:b/>
          <w:bCs/>
          <w:szCs w:val="21"/>
        </w:rPr>
      </w:pPr>
      <w:r>
        <w:rPr>
          <w:rStyle w:val="58"/>
          <w:rFonts w:ascii="宋体" w:hAnsi="宋体"/>
          <w:b/>
          <w:bCs/>
          <w:szCs w:val="21"/>
        </w:rPr>
        <w:t>法定代表人：（盖章）</w:t>
      </w:r>
    </w:p>
    <w:p>
      <w:pPr>
        <w:spacing w:line="400" w:lineRule="exact"/>
        <w:ind w:firstLine="209" w:firstLineChars="99"/>
        <w:rPr>
          <w:rStyle w:val="58"/>
          <w:rFonts w:ascii="宋体" w:hAnsi="宋体"/>
          <w:b/>
          <w:bCs/>
          <w:szCs w:val="21"/>
        </w:rPr>
      </w:pPr>
      <w:r>
        <w:rPr>
          <w:rStyle w:val="58"/>
          <w:rFonts w:hint="eastAsia" w:ascii="宋体" w:hAnsi="宋体"/>
          <w:b/>
          <w:bCs/>
          <w:szCs w:val="21"/>
        </w:rPr>
        <w:t>日期：</w:t>
      </w:r>
      <w:r>
        <w:rPr>
          <w:rStyle w:val="58"/>
          <w:rFonts w:ascii="宋体" w:hAnsi="宋体"/>
          <w:b/>
          <w:bCs/>
          <w:szCs w:val="21"/>
        </w:rPr>
        <w:t xml:space="preserve">      年      月    日</w:t>
      </w:r>
    </w:p>
    <w:p>
      <w:pPr>
        <w:spacing w:line="400" w:lineRule="exact"/>
        <w:ind w:left="630" w:hanging="630" w:hangingChars="299"/>
        <w:rPr>
          <w:rStyle w:val="58"/>
          <w:rFonts w:ascii="宋体" w:hAnsi="宋体"/>
          <w:b/>
          <w:bCs/>
          <w:szCs w:val="21"/>
        </w:rPr>
      </w:pPr>
    </w:p>
    <w:p>
      <w:pPr>
        <w:spacing w:line="400" w:lineRule="exact"/>
        <w:ind w:firstLine="199" w:firstLineChars="99"/>
        <w:rPr>
          <w:rStyle w:val="58"/>
          <w:rFonts w:ascii="宋体" w:hAnsi="宋体"/>
          <w:b/>
          <w:bCs/>
          <w:sz w:val="20"/>
          <w:szCs w:val="20"/>
        </w:rPr>
      </w:pPr>
      <w:r>
        <w:rPr>
          <w:rStyle w:val="58"/>
          <w:rFonts w:ascii="宋体" w:hAnsi="宋体"/>
          <w:b/>
          <w:bCs/>
          <w:sz w:val="20"/>
          <w:szCs w:val="20"/>
        </w:rPr>
        <w:t>注：1、本唱标单除装订在投标文件中外还应一式两份单独密封递交，各项内容务必填写详细，可以填满，但不允许添加附页。</w:t>
      </w:r>
    </w:p>
    <w:p>
      <w:pPr>
        <w:spacing w:line="400" w:lineRule="exact"/>
        <w:ind w:firstLine="199" w:firstLineChars="99"/>
        <w:rPr>
          <w:rStyle w:val="58"/>
          <w:rFonts w:ascii="宋体" w:hAnsi="宋体"/>
          <w:b/>
          <w:bCs/>
          <w:sz w:val="20"/>
          <w:szCs w:val="20"/>
        </w:rPr>
      </w:pPr>
      <w:r>
        <w:rPr>
          <w:rStyle w:val="58"/>
          <w:rFonts w:ascii="宋体" w:hAnsi="宋体"/>
          <w:b/>
          <w:bCs/>
          <w:sz w:val="20"/>
          <w:szCs w:val="20"/>
        </w:rPr>
        <w:t>2、招标文件要求竞报费率的，不填按0计。</w:t>
      </w:r>
    </w:p>
    <w:p>
      <w:pPr>
        <w:spacing w:line="400" w:lineRule="exact"/>
        <w:ind w:firstLine="199" w:firstLineChars="99"/>
        <w:rPr>
          <w:rStyle w:val="58"/>
          <w:rFonts w:ascii="宋体" w:hAnsi="宋体"/>
          <w:b/>
          <w:bCs/>
          <w:sz w:val="20"/>
          <w:szCs w:val="20"/>
        </w:rPr>
      </w:pPr>
      <w:r>
        <w:rPr>
          <w:rStyle w:val="58"/>
          <w:rFonts w:ascii="宋体" w:hAnsi="宋体"/>
          <w:b/>
          <w:bCs/>
          <w:sz w:val="20"/>
          <w:szCs w:val="20"/>
        </w:rPr>
        <w:t>3、在评标过程中，评定内容的具体数据以单独密封并递交的本表内容为准。</w:t>
      </w:r>
    </w:p>
    <w:p>
      <w:pPr>
        <w:spacing w:line="400" w:lineRule="exact"/>
        <w:ind w:firstLine="207" w:firstLineChars="99"/>
        <w:rPr>
          <w:rStyle w:val="58"/>
          <w:rFonts w:ascii="宋体" w:hAnsi="宋体"/>
          <w:szCs w:val="21"/>
        </w:rPr>
      </w:pPr>
      <w:r>
        <w:rPr>
          <w:rStyle w:val="58"/>
          <w:rFonts w:ascii="宋体" w:hAnsi="宋体"/>
          <w:szCs w:val="21"/>
        </w:rPr>
        <w:br w:type="page"/>
      </w:r>
    </w:p>
    <w:p>
      <w:pPr>
        <w:snapToGrid w:val="0"/>
        <w:spacing w:line="440" w:lineRule="exact"/>
        <w:ind w:firstLine="527" w:firstLineChars="250"/>
        <w:jc w:val="center"/>
        <w:rPr>
          <w:rStyle w:val="58"/>
          <w:rFonts w:ascii="宋体" w:hAnsi="宋体"/>
          <w:b/>
          <w:szCs w:val="21"/>
        </w:rPr>
      </w:pPr>
      <w:bookmarkStart w:id="192" w:name="_Toc16063998"/>
      <w:r>
        <w:rPr>
          <w:rStyle w:val="58"/>
          <w:rFonts w:ascii="宋体" w:hAnsi="宋体"/>
          <w:b/>
          <w:szCs w:val="21"/>
        </w:rPr>
        <w:t>（</w:t>
      </w:r>
      <w:r>
        <w:rPr>
          <w:rStyle w:val="58"/>
          <w:rFonts w:hint="eastAsia" w:ascii="宋体" w:hAnsi="宋体"/>
          <w:b/>
          <w:szCs w:val="21"/>
        </w:rPr>
        <w:t>二</w:t>
      </w:r>
      <w:r>
        <w:rPr>
          <w:rStyle w:val="58"/>
          <w:rFonts w:ascii="宋体" w:hAnsi="宋体"/>
          <w:b/>
          <w:szCs w:val="21"/>
        </w:rPr>
        <w:t>）投标函附录-</w:t>
      </w:r>
      <w:bookmarkEnd w:id="192"/>
      <w:r>
        <w:rPr>
          <w:rStyle w:val="58"/>
          <w:rFonts w:ascii="宋体" w:hAnsi="宋体"/>
          <w:b/>
          <w:szCs w:val="21"/>
        </w:rPr>
        <w:t>2</w:t>
      </w:r>
    </w:p>
    <w:p>
      <w:pPr>
        <w:snapToGrid w:val="0"/>
        <w:spacing w:line="440" w:lineRule="exact"/>
        <w:ind w:firstLine="527" w:firstLineChars="250"/>
        <w:jc w:val="center"/>
        <w:rPr>
          <w:rStyle w:val="58"/>
          <w:rFonts w:ascii="宋体" w:hAnsi="宋体"/>
          <w:b/>
          <w:szCs w:val="21"/>
        </w:rPr>
      </w:pPr>
    </w:p>
    <w:p>
      <w:pPr>
        <w:jc w:val="center"/>
        <w:rPr>
          <w:rStyle w:val="58"/>
          <w:rFonts w:ascii="宋体" w:hAnsi="宋体"/>
          <w:b/>
          <w:bCs/>
          <w:sz w:val="28"/>
          <w:szCs w:val="28"/>
        </w:rPr>
      </w:pPr>
      <w:r>
        <w:rPr>
          <w:rStyle w:val="58"/>
          <w:rFonts w:ascii="宋体" w:hAnsi="宋体"/>
          <w:b/>
          <w:bCs/>
          <w:sz w:val="28"/>
          <w:szCs w:val="28"/>
        </w:rPr>
        <w:t>投标人拟派现场管理人员配备表</w:t>
      </w:r>
    </w:p>
    <w:p>
      <w:pPr>
        <w:adjustRightInd w:val="0"/>
        <w:snapToGrid w:val="0"/>
        <w:rPr>
          <w:rStyle w:val="58"/>
          <w:rFonts w:ascii="宋体" w:hAnsi="宋体"/>
          <w:bCs/>
          <w:sz w:val="28"/>
          <w:szCs w:val="28"/>
        </w:rPr>
      </w:pPr>
      <w:r>
        <w:rPr>
          <w:rStyle w:val="58"/>
          <w:rFonts w:ascii="宋体" w:hAnsi="宋体"/>
          <w:bCs/>
          <w:sz w:val="28"/>
          <w:szCs w:val="28"/>
        </w:rPr>
        <w:t xml:space="preserve"> 投标单位（单位公章）：</w:t>
      </w:r>
    </w:p>
    <w:p>
      <w:pPr>
        <w:pStyle w:val="2"/>
        <w:ind w:left="420" w:firstLine="420"/>
      </w:pPr>
    </w:p>
    <w:tbl>
      <w:tblPr>
        <w:tblStyle w:val="37"/>
        <w:tblW w:w="8364"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36"/>
        <w:gridCol w:w="1231"/>
        <w:gridCol w:w="1086"/>
        <w:gridCol w:w="298"/>
        <w:gridCol w:w="1450"/>
        <w:gridCol w:w="236"/>
        <w:gridCol w:w="2127"/>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项目编号</w:t>
            </w:r>
          </w:p>
        </w:tc>
        <w:tc>
          <w:tcPr>
            <w:tcW w:w="6428" w:type="dxa"/>
            <w:gridSpan w:val="6"/>
            <w:tcBorders>
              <w:top w:val="single" w:color="000000" w:sz="4" w:space="0"/>
              <w:left w:val="single" w:color="000000" w:sz="4" w:space="0"/>
              <w:bottom w:val="single" w:color="000000" w:sz="4" w:space="0"/>
              <w:right w:val="single" w:color="000000" w:sz="4" w:space="0"/>
            </w:tcBorders>
          </w:tcPr>
          <w:p>
            <w:pPr>
              <w:adjustRightInd w:val="0"/>
              <w:snapToGrid w:val="0"/>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招 标 人</w:t>
            </w:r>
          </w:p>
        </w:tc>
        <w:tc>
          <w:tcPr>
            <w:tcW w:w="6428" w:type="dxa"/>
            <w:gridSpan w:val="6"/>
            <w:tcBorders>
              <w:top w:val="single" w:color="000000" w:sz="4" w:space="0"/>
              <w:left w:val="single" w:color="000000" w:sz="4" w:space="0"/>
              <w:bottom w:val="single" w:color="000000" w:sz="4" w:space="0"/>
              <w:right w:val="single" w:color="000000" w:sz="4" w:space="0"/>
            </w:tcBorders>
          </w:tcPr>
          <w:p>
            <w:pPr>
              <w:adjustRightInd w:val="0"/>
              <w:snapToGrid w:val="0"/>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项目名称</w:t>
            </w:r>
          </w:p>
        </w:tc>
        <w:tc>
          <w:tcPr>
            <w:tcW w:w="6428" w:type="dxa"/>
            <w:gridSpan w:val="6"/>
            <w:tcBorders>
              <w:top w:val="single" w:color="000000" w:sz="4" w:space="0"/>
              <w:left w:val="single" w:color="000000" w:sz="4" w:space="0"/>
              <w:bottom w:val="single" w:color="000000" w:sz="4" w:space="0"/>
              <w:right w:val="single" w:color="000000" w:sz="4" w:space="0"/>
            </w:tcBorders>
            <w:vAlign w:val="center"/>
          </w:tcPr>
          <w:p>
            <w:pPr>
              <w:adjustRightInd w:val="0"/>
              <w:snapToGrid w:val="0"/>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面积/规模</w:t>
            </w:r>
          </w:p>
        </w:tc>
        <w:tc>
          <w:tcPr>
            <w:tcW w:w="2317" w:type="dxa"/>
            <w:gridSpan w:val="2"/>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c>
          <w:tcPr>
            <w:tcW w:w="1984" w:type="dxa"/>
            <w:gridSpan w:val="3"/>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投标工期</w:t>
            </w:r>
          </w:p>
        </w:tc>
        <w:tc>
          <w:tcPr>
            <w:tcW w:w="2127"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hint="eastAsia" w:ascii="宋体" w:hAnsi="宋体"/>
                <w:bCs/>
                <w:sz w:val="28"/>
                <w:szCs w:val="28"/>
              </w:rPr>
              <w:t>投</w:t>
            </w:r>
            <w:r>
              <w:rPr>
                <w:rStyle w:val="58"/>
                <w:rFonts w:ascii="宋体" w:hAnsi="宋体"/>
                <w:bCs/>
                <w:sz w:val="28"/>
                <w:szCs w:val="28"/>
              </w:rPr>
              <w:t>标价格</w:t>
            </w:r>
          </w:p>
        </w:tc>
        <w:tc>
          <w:tcPr>
            <w:tcW w:w="6428" w:type="dxa"/>
            <w:gridSpan w:val="6"/>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序号</w:t>
            </w:r>
          </w:p>
        </w:tc>
        <w:tc>
          <w:tcPr>
            <w:tcW w:w="1231" w:type="dxa"/>
            <w:tcBorders>
              <w:top w:val="single" w:color="000000" w:sz="4" w:space="0"/>
              <w:left w:val="single" w:color="000000"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岗位名称</w:t>
            </w:r>
          </w:p>
        </w:tc>
        <w:tc>
          <w:tcPr>
            <w:tcW w:w="1384" w:type="dxa"/>
            <w:gridSpan w:val="2"/>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姓名</w:t>
            </w:r>
          </w:p>
        </w:tc>
        <w:tc>
          <w:tcPr>
            <w:tcW w:w="1450" w:type="dxa"/>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性  别</w:t>
            </w:r>
          </w:p>
        </w:tc>
        <w:tc>
          <w:tcPr>
            <w:tcW w:w="2363" w:type="dxa"/>
            <w:gridSpan w:val="2"/>
            <w:tcBorders>
              <w:top w:val="single" w:color="000000" w:sz="4" w:space="0"/>
              <w:left w:val="single" w:color="auto"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r>
              <w:rPr>
                <w:rStyle w:val="58"/>
                <w:rFonts w:ascii="宋体" w:hAnsi="宋体"/>
                <w:bCs/>
                <w:sz w:val="28"/>
                <w:szCs w:val="28"/>
              </w:rPr>
              <w:t>资格证书编号</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2363" w:type="dxa"/>
            <w:gridSpan w:val="2"/>
            <w:tcBorders>
              <w:top w:val="single" w:color="000000" w:sz="4" w:space="0"/>
              <w:left w:val="single" w:color="auto"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2363" w:type="dxa"/>
            <w:gridSpan w:val="2"/>
            <w:tcBorders>
              <w:top w:val="single" w:color="000000" w:sz="4" w:space="0"/>
              <w:left w:val="single" w:color="auto"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2363" w:type="dxa"/>
            <w:gridSpan w:val="2"/>
            <w:tcBorders>
              <w:top w:val="single" w:color="000000" w:sz="4" w:space="0"/>
              <w:left w:val="single" w:color="auto"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3" w:hRule="atLeast"/>
        </w:trPr>
        <w:tc>
          <w:tcPr>
            <w:tcW w:w="1936" w:type="dxa"/>
            <w:tcBorders>
              <w:top w:val="single" w:color="000000" w:sz="4" w:space="0"/>
              <w:left w:val="single" w:color="000000"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c>
          <w:tcPr>
            <w:tcW w:w="1231" w:type="dxa"/>
            <w:tcBorders>
              <w:top w:val="single" w:color="000000" w:sz="4" w:space="0"/>
              <w:left w:val="single" w:color="000000"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384" w:type="dxa"/>
            <w:gridSpan w:val="2"/>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1450" w:type="dxa"/>
            <w:tcBorders>
              <w:top w:val="single" w:color="000000" w:sz="4" w:space="0"/>
              <w:left w:val="single" w:color="auto" w:sz="4" w:space="0"/>
              <w:bottom w:val="single" w:color="000000" w:sz="4" w:space="0"/>
              <w:right w:val="single" w:color="auto" w:sz="4" w:space="0"/>
            </w:tcBorders>
            <w:vAlign w:val="center"/>
          </w:tcPr>
          <w:p>
            <w:pPr>
              <w:adjustRightInd w:val="0"/>
              <w:snapToGrid w:val="0"/>
              <w:jc w:val="center"/>
              <w:rPr>
                <w:rStyle w:val="58"/>
                <w:rFonts w:ascii="宋体" w:hAnsi="宋体"/>
                <w:bCs/>
                <w:sz w:val="28"/>
                <w:szCs w:val="28"/>
              </w:rPr>
            </w:pPr>
          </w:p>
        </w:tc>
        <w:tc>
          <w:tcPr>
            <w:tcW w:w="2363" w:type="dxa"/>
            <w:gridSpan w:val="2"/>
            <w:tcBorders>
              <w:top w:val="single" w:color="000000" w:sz="4" w:space="0"/>
              <w:left w:val="single" w:color="auto" w:sz="4" w:space="0"/>
              <w:bottom w:val="single" w:color="000000" w:sz="4" w:space="0"/>
              <w:right w:val="single" w:color="000000" w:sz="4" w:space="0"/>
            </w:tcBorders>
            <w:vAlign w:val="center"/>
          </w:tcPr>
          <w:p>
            <w:pPr>
              <w:adjustRightInd w:val="0"/>
              <w:snapToGrid w:val="0"/>
              <w:jc w:val="center"/>
              <w:rPr>
                <w:rStyle w:val="58"/>
                <w:rFonts w:ascii="宋体" w:hAnsi="宋体"/>
                <w:bCs/>
                <w:sz w:val="28"/>
                <w:szCs w:val="28"/>
              </w:rPr>
            </w:pPr>
          </w:p>
        </w:tc>
      </w:tr>
    </w:tbl>
    <w:p>
      <w:pPr>
        <w:adjustRightInd w:val="0"/>
        <w:snapToGrid w:val="0"/>
        <w:rPr>
          <w:rStyle w:val="58"/>
          <w:rFonts w:ascii="宋体" w:hAnsi="宋体"/>
          <w:szCs w:val="21"/>
        </w:rPr>
      </w:pPr>
    </w:p>
    <w:p>
      <w:pPr>
        <w:adjustRightInd w:val="0"/>
        <w:snapToGrid w:val="0"/>
        <w:rPr>
          <w:rStyle w:val="58"/>
          <w:rFonts w:ascii="宋体" w:hAnsi="宋体"/>
          <w:szCs w:val="21"/>
        </w:rPr>
      </w:pPr>
    </w:p>
    <w:p>
      <w:pPr>
        <w:ind w:firstLine="651" w:firstLineChars="310"/>
        <w:rPr>
          <w:rStyle w:val="58"/>
          <w:rFonts w:ascii="宋体" w:hAnsi="宋体"/>
          <w:szCs w:val="21"/>
        </w:rPr>
      </w:pPr>
      <w:r>
        <w:rPr>
          <w:rStyle w:val="58"/>
          <w:rFonts w:ascii="宋体" w:hAnsi="宋体"/>
          <w:szCs w:val="21"/>
        </w:rPr>
        <w:br w:type="page"/>
      </w:r>
    </w:p>
    <w:p>
      <w:pPr>
        <w:snapToGrid w:val="0"/>
        <w:spacing w:line="440" w:lineRule="exact"/>
        <w:ind w:firstLine="527" w:firstLineChars="250"/>
        <w:jc w:val="center"/>
        <w:rPr>
          <w:rStyle w:val="58"/>
          <w:rFonts w:ascii="宋体" w:hAnsi="宋体"/>
          <w:b/>
          <w:szCs w:val="21"/>
        </w:rPr>
      </w:pPr>
      <w:bookmarkStart w:id="193" w:name="_Toc27993"/>
      <w:bookmarkStart w:id="194" w:name="_Toc24038"/>
      <w:bookmarkStart w:id="195" w:name="_Toc16063999"/>
      <w:bookmarkStart w:id="196" w:name="_Toc17817349"/>
      <w:r>
        <w:rPr>
          <w:rStyle w:val="58"/>
          <w:rFonts w:hint="eastAsia" w:ascii="宋体" w:hAnsi="宋体"/>
          <w:b/>
          <w:szCs w:val="21"/>
        </w:rPr>
        <w:t>（三）</w:t>
      </w:r>
      <w:r>
        <w:rPr>
          <w:rStyle w:val="58"/>
          <w:rFonts w:ascii="宋体" w:hAnsi="宋体"/>
          <w:b/>
          <w:szCs w:val="21"/>
        </w:rPr>
        <w:t>投标函附录-3</w:t>
      </w:r>
    </w:p>
    <w:p>
      <w:pPr>
        <w:pStyle w:val="19"/>
      </w:pPr>
    </w:p>
    <w:p>
      <w:pPr>
        <w:jc w:val="center"/>
        <w:rPr>
          <w:rStyle w:val="58"/>
          <w:rFonts w:ascii="宋体" w:hAnsi="宋体"/>
          <w:b/>
          <w:bCs/>
          <w:sz w:val="28"/>
          <w:szCs w:val="28"/>
        </w:rPr>
      </w:pPr>
      <w:r>
        <w:rPr>
          <w:rStyle w:val="58"/>
          <w:rFonts w:hint="eastAsia" w:ascii="宋体" w:hAnsi="宋体"/>
          <w:b/>
          <w:bCs/>
          <w:sz w:val="28"/>
          <w:szCs w:val="28"/>
        </w:rPr>
        <w:t>承诺书</w:t>
      </w:r>
    </w:p>
    <w:p>
      <w:pPr>
        <w:spacing w:after="240" w:line="440" w:lineRule="exact"/>
        <w:rPr>
          <w:rStyle w:val="58"/>
          <w:rFonts w:ascii="宋体"/>
        </w:rPr>
      </w:pPr>
      <w:r>
        <w:rPr>
          <w:rStyle w:val="58"/>
          <w:rFonts w:ascii="宋体"/>
          <w:position w:val="-7"/>
        </w:rPr>
        <w:t>————————</w:t>
      </w:r>
      <w:r>
        <w:rPr>
          <w:rStyle w:val="58"/>
          <w:rFonts w:ascii="宋体"/>
        </w:rPr>
        <w:t>（招标人名称）：</w:t>
      </w:r>
    </w:p>
    <w:p>
      <w:pPr>
        <w:spacing w:line="440" w:lineRule="exact"/>
        <w:ind w:firstLine="420" w:firstLineChars="200"/>
        <w:rPr>
          <w:rStyle w:val="58"/>
          <w:rFonts w:ascii="宋体"/>
        </w:rPr>
      </w:pPr>
      <w:r>
        <w:rPr>
          <w:rStyle w:val="58"/>
          <w:rFonts w:hint="eastAsia" w:ascii="宋体"/>
        </w:rPr>
        <w:t>针对</w:t>
      </w:r>
      <w:r>
        <w:rPr>
          <w:rStyle w:val="58"/>
          <w:rFonts w:hint="eastAsia" w:ascii="宋体"/>
          <w:u w:val="single"/>
        </w:rPr>
        <w:t xml:space="preserve">           </w:t>
      </w:r>
      <w:r>
        <w:rPr>
          <w:rStyle w:val="58"/>
          <w:rFonts w:hint="eastAsia" w:ascii="宋体"/>
        </w:rPr>
        <w:t>项目，我方承诺：</w:t>
      </w:r>
    </w:p>
    <w:p>
      <w:pPr>
        <w:spacing w:line="440" w:lineRule="exact"/>
        <w:ind w:firstLine="420" w:firstLineChars="200"/>
        <w:rPr>
          <w:rStyle w:val="58"/>
          <w:rFonts w:ascii="宋体"/>
        </w:rPr>
      </w:pPr>
      <w:r>
        <w:rPr>
          <w:rStyle w:val="58"/>
          <w:rFonts w:hint="eastAsia" w:ascii="宋体"/>
        </w:rPr>
        <w:t>一、</w:t>
      </w:r>
      <w:r>
        <w:rPr>
          <w:rStyle w:val="58"/>
          <w:rFonts w:ascii="宋体"/>
        </w:rPr>
        <w:t>我方拟派往（项目名称）（以下简称“本工程”）的项目经理（项目经理姓名）现阶段没有担任任何在施建设工程项目的项目经理。</w:t>
      </w:r>
    </w:p>
    <w:p>
      <w:pPr>
        <w:spacing w:line="440" w:lineRule="exact"/>
        <w:ind w:firstLine="420" w:firstLineChars="200"/>
        <w:rPr>
          <w:rStyle w:val="58"/>
          <w:rFonts w:ascii="宋体"/>
        </w:rPr>
      </w:pPr>
      <w:r>
        <w:rPr>
          <w:rStyle w:val="58"/>
          <w:rFonts w:hint="eastAsia" w:ascii="宋体"/>
        </w:rPr>
        <w:t>二、中标后现场管理班子均为我单位正式职工，已连续缴纳社保半年以上，确保到岗不少于</w:t>
      </w:r>
      <w:r>
        <w:rPr>
          <w:rStyle w:val="58"/>
          <w:rFonts w:hint="eastAsia" w:ascii="宋体"/>
          <w:u w:val="single"/>
        </w:rPr>
        <w:t xml:space="preserve">    </w:t>
      </w:r>
      <w:r>
        <w:rPr>
          <w:rStyle w:val="58"/>
          <w:rFonts w:hint="eastAsia" w:ascii="宋体"/>
        </w:rPr>
        <w:t>人，每少一人承担</w:t>
      </w:r>
      <w:r>
        <w:rPr>
          <w:rStyle w:val="58"/>
          <w:rFonts w:hint="eastAsia" w:ascii="宋体"/>
          <w:u w:val="single"/>
        </w:rPr>
        <w:t xml:space="preserve"> 1 </w:t>
      </w:r>
      <w:r>
        <w:rPr>
          <w:rStyle w:val="58"/>
          <w:rFonts w:hint="eastAsia" w:ascii="宋体"/>
        </w:rPr>
        <w:t>万元的赔偿且在施工期间未经发包人允许绝不擅自更换；</w:t>
      </w:r>
    </w:p>
    <w:p>
      <w:pPr>
        <w:spacing w:line="440" w:lineRule="exact"/>
        <w:ind w:firstLine="420" w:firstLineChars="200"/>
        <w:rPr>
          <w:rStyle w:val="58"/>
          <w:rFonts w:ascii="宋体"/>
        </w:rPr>
      </w:pPr>
      <w:r>
        <w:rPr>
          <w:rStyle w:val="58"/>
          <w:rFonts w:hint="eastAsia" w:ascii="宋体"/>
        </w:rPr>
        <w:t>三、项目经理现场履职每月不少于25天，每少一天自愿接受考核</w:t>
      </w:r>
      <w:r>
        <w:rPr>
          <w:rStyle w:val="58"/>
          <w:rFonts w:hint="eastAsia" w:ascii="宋体"/>
          <w:u w:val="single"/>
        </w:rPr>
        <w:t>1000</w:t>
      </w:r>
      <w:r>
        <w:rPr>
          <w:rStyle w:val="58"/>
          <w:rFonts w:hint="eastAsia" w:ascii="宋体"/>
        </w:rPr>
        <w:t>元/天。</w:t>
      </w:r>
    </w:p>
    <w:p>
      <w:pPr>
        <w:spacing w:line="440" w:lineRule="exact"/>
        <w:ind w:firstLine="420" w:firstLineChars="200"/>
        <w:rPr>
          <w:rStyle w:val="58"/>
          <w:rFonts w:ascii="宋体"/>
        </w:rPr>
      </w:pPr>
      <w:r>
        <w:rPr>
          <w:rStyle w:val="58"/>
          <w:rFonts w:hint="eastAsia" w:ascii="宋体"/>
        </w:rPr>
        <w:t>四、若我方违背上述承诺，视为工程转包、挂靠行为，除承担合同约定的违约责任外，</w:t>
      </w:r>
      <w:r>
        <w:rPr>
          <w:rStyle w:val="58"/>
          <w:rFonts w:ascii="宋体"/>
        </w:rPr>
        <w:t>并愿意承担因我方就此弄虚作假所引起的一切法律后果。</w:t>
      </w:r>
    </w:p>
    <w:p>
      <w:pPr>
        <w:spacing w:line="440" w:lineRule="exact"/>
        <w:ind w:firstLine="420" w:firstLineChars="200"/>
        <w:rPr>
          <w:rStyle w:val="58"/>
          <w:rFonts w:ascii="宋体"/>
        </w:rPr>
      </w:pPr>
    </w:p>
    <w:p>
      <w:pPr>
        <w:rPr>
          <w:rStyle w:val="58"/>
          <w:rFonts w:ascii="宋体"/>
        </w:rPr>
      </w:pPr>
    </w:p>
    <w:p>
      <w:pPr>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3780" w:firstLineChars="1800"/>
        <w:rPr>
          <w:rStyle w:val="58"/>
          <w:rFonts w:ascii="宋体"/>
        </w:rPr>
      </w:pPr>
      <w:r>
        <w:rPr>
          <w:rStyle w:val="58"/>
          <w:rFonts w:hint="eastAsia" w:ascii="宋体"/>
        </w:rPr>
        <w:t>公司法律人员或法务部门签字盖章</w:t>
      </w:r>
    </w:p>
    <w:p>
      <w:pPr>
        <w:rPr>
          <w:rStyle w:val="58"/>
          <w:rFonts w:ascii="宋体"/>
        </w:rPr>
      </w:pPr>
    </w:p>
    <w:p>
      <w:pPr>
        <w:ind w:firstLine="3780" w:firstLineChars="1800"/>
        <w:rPr>
          <w:rStyle w:val="58"/>
          <w:rFonts w:ascii="宋体"/>
        </w:rPr>
      </w:pPr>
      <w:r>
        <w:rPr>
          <w:rStyle w:val="58"/>
          <w:rFonts w:hint="eastAsia" w:ascii="宋体"/>
        </w:rPr>
        <w:t xml:space="preserve">投标单位：     （公章）             </w:t>
      </w:r>
    </w:p>
    <w:p>
      <w:pPr>
        <w:rPr>
          <w:rStyle w:val="58"/>
          <w:rFonts w:ascii="宋体"/>
        </w:rPr>
      </w:pPr>
      <w:r>
        <w:rPr>
          <w:rStyle w:val="58"/>
          <w:rFonts w:hint="eastAsia" w:ascii="宋体"/>
        </w:rPr>
        <w:t xml:space="preserve">                                  </w:t>
      </w:r>
    </w:p>
    <w:p>
      <w:pPr>
        <w:ind w:firstLine="3780" w:firstLineChars="1800"/>
        <w:rPr>
          <w:rStyle w:val="58"/>
          <w:rFonts w:ascii="宋体"/>
        </w:rPr>
      </w:pPr>
      <w:r>
        <w:rPr>
          <w:rStyle w:val="58"/>
          <w:rFonts w:hint="eastAsia" w:ascii="宋体"/>
        </w:rPr>
        <w:t>法人签字：</w:t>
      </w:r>
    </w:p>
    <w:p>
      <w:pPr>
        <w:pStyle w:val="2"/>
        <w:ind w:left="420" w:firstLine="420"/>
      </w:pPr>
    </w:p>
    <w:p>
      <w:pPr>
        <w:ind w:firstLine="1680" w:firstLineChars="800"/>
        <w:rPr>
          <w:rStyle w:val="58"/>
          <w:rFonts w:ascii="宋体"/>
        </w:rPr>
      </w:pPr>
      <w:r>
        <w:rPr>
          <w:rStyle w:val="58"/>
          <w:rFonts w:hint="eastAsia" w:ascii="宋体"/>
        </w:rPr>
        <w:t xml:space="preserve">                    日期：</w:t>
      </w:r>
    </w:p>
    <w:p>
      <w:pPr>
        <w:pStyle w:val="19"/>
        <w:jc w:val="center"/>
      </w:pPr>
      <w:r>
        <w:br w:type="page"/>
      </w:r>
    </w:p>
    <w:p>
      <w:pPr>
        <w:pStyle w:val="7"/>
        <w:spacing w:before="0" w:after="0" w:line="480" w:lineRule="auto"/>
        <w:jc w:val="center"/>
        <w:rPr>
          <w:sz w:val="30"/>
          <w:szCs w:val="30"/>
        </w:rPr>
      </w:pPr>
      <w:bookmarkStart w:id="197" w:name="_Toc211261931"/>
      <w:r>
        <w:rPr>
          <w:sz w:val="30"/>
          <w:szCs w:val="30"/>
        </w:rPr>
        <w:t>二、法定代表人身份证明</w:t>
      </w:r>
      <w:bookmarkEnd w:id="193"/>
      <w:bookmarkEnd w:id="194"/>
      <w:bookmarkEnd w:id="195"/>
      <w:bookmarkEnd w:id="196"/>
      <w:bookmarkEnd w:id="197"/>
    </w:p>
    <w:p>
      <w:pPr>
        <w:spacing w:line="500" w:lineRule="exact"/>
        <w:ind w:firstLine="735" w:firstLineChars="350"/>
        <w:rPr>
          <w:rStyle w:val="58"/>
          <w:rFonts w:ascii="宋体" w:hAnsi="宋体"/>
          <w:szCs w:val="21"/>
        </w:rPr>
      </w:pPr>
      <w:r>
        <w:rPr>
          <w:rStyle w:val="58"/>
          <w:rFonts w:ascii="宋体" w:hAnsi="宋体"/>
          <w:szCs w:val="21"/>
        </w:rPr>
        <w:t>投 标 人：</w:t>
      </w:r>
    </w:p>
    <w:p>
      <w:pPr>
        <w:spacing w:line="500" w:lineRule="exact"/>
        <w:ind w:firstLine="735" w:firstLineChars="350"/>
        <w:rPr>
          <w:rStyle w:val="58"/>
          <w:rFonts w:ascii="宋体" w:hAnsi="宋体"/>
          <w:szCs w:val="21"/>
        </w:rPr>
      </w:pPr>
      <w:r>
        <w:rPr>
          <w:rStyle w:val="58"/>
          <w:rFonts w:ascii="宋体" w:hAnsi="宋体"/>
          <w:szCs w:val="21"/>
        </w:rPr>
        <w:t>单位性质：</w:t>
      </w:r>
    </w:p>
    <w:p>
      <w:pPr>
        <w:spacing w:line="500" w:lineRule="exact"/>
        <w:ind w:firstLine="735" w:firstLineChars="350"/>
        <w:rPr>
          <w:rStyle w:val="58"/>
          <w:rFonts w:ascii="宋体" w:hAnsi="宋体"/>
          <w:szCs w:val="21"/>
        </w:rPr>
      </w:pPr>
      <w:r>
        <w:rPr>
          <w:rStyle w:val="58"/>
          <w:rFonts w:ascii="宋体" w:hAnsi="宋体"/>
          <w:szCs w:val="21"/>
        </w:rPr>
        <w:t>地    址：</w:t>
      </w:r>
    </w:p>
    <w:p>
      <w:pPr>
        <w:spacing w:line="500" w:lineRule="exact"/>
        <w:ind w:firstLine="735" w:firstLineChars="350"/>
        <w:rPr>
          <w:rStyle w:val="58"/>
          <w:rFonts w:ascii="宋体" w:hAnsi="宋体"/>
          <w:szCs w:val="21"/>
        </w:rPr>
      </w:pPr>
      <w:r>
        <w:rPr>
          <w:rStyle w:val="58"/>
          <w:rFonts w:ascii="宋体" w:hAnsi="宋体"/>
          <w:szCs w:val="21"/>
        </w:rPr>
        <w:t>成立时间：</w:t>
      </w:r>
      <w:r>
        <w:rPr>
          <w:rStyle w:val="58"/>
          <w:rFonts w:hint="eastAsia" w:ascii="宋体" w:hAnsi="宋体"/>
          <w:szCs w:val="21"/>
        </w:rPr>
        <w:t xml:space="preserve"> </w:t>
      </w:r>
      <w:r>
        <w:rPr>
          <w:rStyle w:val="58"/>
          <w:rFonts w:ascii="宋体" w:hAnsi="宋体"/>
          <w:szCs w:val="21"/>
        </w:rPr>
        <w:t>年</w:t>
      </w:r>
      <w:r>
        <w:rPr>
          <w:rStyle w:val="58"/>
          <w:rFonts w:hint="eastAsia" w:ascii="宋体" w:hAnsi="宋体"/>
          <w:szCs w:val="21"/>
        </w:rPr>
        <w:t xml:space="preserve"> </w:t>
      </w:r>
      <w:r>
        <w:rPr>
          <w:rStyle w:val="58"/>
          <w:rFonts w:ascii="宋体" w:hAnsi="宋体"/>
          <w:szCs w:val="21"/>
        </w:rPr>
        <w:t>月</w:t>
      </w:r>
      <w:r>
        <w:rPr>
          <w:rStyle w:val="58"/>
          <w:rFonts w:hint="eastAsia" w:ascii="宋体" w:hAnsi="宋体"/>
          <w:szCs w:val="21"/>
        </w:rPr>
        <w:t xml:space="preserve"> </w:t>
      </w:r>
      <w:r>
        <w:rPr>
          <w:rStyle w:val="58"/>
          <w:rFonts w:ascii="宋体" w:hAnsi="宋体"/>
          <w:szCs w:val="21"/>
        </w:rPr>
        <w:t>日</w:t>
      </w:r>
    </w:p>
    <w:p>
      <w:pPr>
        <w:spacing w:line="500" w:lineRule="exact"/>
        <w:ind w:firstLine="735" w:firstLineChars="350"/>
        <w:rPr>
          <w:rStyle w:val="58"/>
          <w:rFonts w:ascii="宋体" w:hAnsi="宋体"/>
          <w:szCs w:val="21"/>
        </w:rPr>
      </w:pPr>
      <w:r>
        <w:rPr>
          <w:rStyle w:val="58"/>
          <w:rFonts w:ascii="宋体" w:hAnsi="宋体"/>
          <w:szCs w:val="21"/>
        </w:rPr>
        <w:t>经营期限：</w:t>
      </w:r>
    </w:p>
    <w:p>
      <w:pPr>
        <w:spacing w:line="500" w:lineRule="exact"/>
        <w:ind w:firstLine="735" w:firstLineChars="350"/>
        <w:rPr>
          <w:rStyle w:val="58"/>
          <w:rFonts w:ascii="宋体" w:hAnsi="宋体"/>
          <w:szCs w:val="21"/>
        </w:rPr>
      </w:pPr>
      <w:r>
        <w:rPr>
          <w:rStyle w:val="58"/>
          <w:rFonts w:ascii="宋体" w:hAnsi="宋体"/>
          <w:szCs w:val="21"/>
        </w:rPr>
        <w:t>姓    名：</w:t>
      </w:r>
      <w:r>
        <w:rPr>
          <w:rStyle w:val="58"/>
          <w:rFonts w:hint="eastAsia" w:ascii="宋体" w:hAnsi="宋体"/>
          <w:szCs w:val="21"/>
        </w:rPr>
        <w:t xml:space="preserve"> </w:t>
      </w:r>
      <w:r>
        <w:rPr>
          <w:rStyle w:val="58"/>
          <w:rFonts w:ascii="宋体" w:hAnsi="宋体"/>
          <w:szCs w:val="21"/>
        </w:rPr>
        <w:t xml:space="preserve">     性    别：</w:t>
      </w:r>
    </w:p>
    <w:p>
      <w:pPr>
        <w:spacing w:line="500" w:lineRule="exact"/>
        <w:ind w:firstLine="735" w:firstLineChars="350"/>
        <w:rPr>
          <w:rStyle w:val="58"/>
          <w:rFonts w:ascii="宋体" w:hAnsi="宋体"/>
          <w:szCs w:val="21"/>
          <w:u w:val="single"/>
        </w:rPr>
      </w:pPr>
      <w:r>
        <w:rPr>
          <w:rStyle w:val="58"/>
          <w:rFonts w:ascii="宋体" w:hAnsi="宋体"/>
          <w:szCs w:val="21"/>
        </w:rPr>
        <w:t>年    龄：</w:t>
      </w:r>
      <w:r>
        <w:rPr>
          <w:rStyle w:val="58"/>
          <w:rFonts w:hint="eastAsia" w:ascii="宋体" w:hAnsi="宋体"/>
          <w:szCs w:val="21"/>
        </w:rPr>
        <w:t xml:space="preserve"> </w:t>
      </w:r>
      <w:r>
        <w:rPr>
          <w:rStyle w:val="58"/>
          <w:rFonts w:ascii="宋体" w:hAnsi="宋体"/>
          <w:szCs w:val="21"/>
        </w:rPr>
        <w:t xml:space="preserve">     职    务：</w:t>
      </w:r>
    </w:p>
    <w:p>
      <w:pPr>
        <w:spacing w:line="500" w:lineRule="exact"/>
        <w:ind w:firstLine="735" w:firstLineChars="350"/>
        <w:rPr>
          <w:rStyle w:val="58"/>
          <w:rFonts w:ascii="宋体" w:hAnsi="宋体"/>
          <w:szCs w:val="21"/>
          <w:u w:val="single"/>
        </w:rPr>
      </w:pPr>
      <w:r>
        <w:rPr>
          <w:rStyle w:val="58"/>
          <w:rFonts w:ascii="宋体" w:hAnsi="宋体"/>
          <w:szCs w:val="21"/>
        </w:rPr>
        <w:t>身份证号:</w:t>
      </w:r>
    </w:p>
    <w:p>
      <w:pPr>
        <w:spacing w:line="500" w:lineRule="exact"/>
        <w:ind w:firstLine="735" w:firstLineChars="350"/>
        <w:rPr>
          <w:rStyle w:val="58"/>
          <w:rFonts w:ascii="宋体" w:hAnsi="宋体"/>
          <w:szCs w:val="21"/>
        </w:rPr>
      </w:pPr>
      <w:r>
        <w:rPr>
          <w:rStyle w:val="58"/>
          <w:rFonts w:ascii="宋体" w:hAnsi="宋体"/>
          <w:szCs w:val="21"/>
        </w:rPr>
        <w:t>系（投标人名称）的法定代表人。</w:t>
      </w:r>
    </w:p>
    <w:p>
      <w:pPr>
        <w:spacing w:line="500" w:lineRule="exact"/>
        <w:ind w:firstLine="735" w:firstLineChars="350"/>
        <w:rPr>
          <w:rStyle w:val="58"/>
          <w:rFonts w:ascii="宋体" w:hAnsi="宋体"/>
          <w:szCs w:val="21"/>
        </w:rPr>
      </w:pPr>
      <w:r>
        <w:rPr>
          <w:rStyle w:val="58"/>
          <w:rFonts w:ascii="宋体" w:hAnsi="宋体"/>
          <w:szCs w:val="21"/>
        </w:rPr>
        <w:t>特此证明。</w:t>
      </w:r>
    </w:p>
    <w:p>
      <w:pPr>
        <w:spacing w:line="500" w:lineRule="exact"/>
        <w:rPr>
          <w:rStyle w:val="58"/>
          <w:rFonts w:ascii="宋体" w:hAnsi="宋体"/>
          <w:szCs w:val="21"/>
        </w:rPr>
      </w:pPr>
    </w:p>
    <w:p>
      <w:pPr>
        <w:spacing w:line="500" w:lineRule="exact"/>
        <w:rPr>
          <w:rStyle w:val="58"/>
          <w:rFonts w:ascii="宋体" w:hAnsi="宋体"/>
          <w:szCs w:val="21"/>
        </w:rPr>
      </w:pPr>
    </w:p>
    <w:p>
      <w:pPr>
        <w:spacing w:line="500" w:lineRule="exact"/>
        <w:jc w:val="right"/>
        <w:rPr>
          <w:rStyle w:val="58"/>
          <w:rFonts w:ascii="宋体" w:hAnsi="宋体"/>
          <w:szCs w:val="21"/>
        </w:rPr>
      </w:pPr>
      <w:r>
        <w:rPr>
          <w:rStyle w:val="58"/>
          <w:rFonts w:ascii="宋体" w:hAnsi="宋体"/>
          <w:szCs w:val="21"/>
        </w:rPr>
        <w:t>投标人：（盖单位公章）</w:t>
      </w:r>
    </w:p>
    <w:p>
      <w:pPr>
        <w:spacing w:line="500" w:lineRule="exact"/>
        <w:jc w:val="right"/>
        <w:rPr>
          <w:rStyle w:val="58"/>
          <w:rFonts w:ascii="宋体" w:hAnsi="宋体"/>
          <w:szCs w:val="21"/>
        </w:rPr>
      </w:pPr>
      <w:r>
        <w:rPr>
          <w:rStyle w:val="58"/>
          <w:rFonts w:ascii="宋体" w:hAnsi="宋体"/>
          <w:szCs w:val="21"/>
        </w:rPr>
        <w:t>年</w:t>
      </w:r>
      <w:r>
        <w:rPr>
          <w:rStyle w:val="58"/>
          <w:rFonts w:hint="eastAsia" w:ascii="宋体" w:hAnsi="宋体"/>
          <w:szCs w:val="21"/>
        </w:rPr>
        <w:t xml:space="preserve"> </w:t>
      </w:r>
      <w:r>
        <w:rPr>
          <w:rStyle w:val="58"/>
          <w:rFonts w:ascii="宋体" w:hAnsi="宋体"/>
          <w:szCs w:val="21"/>
        </w:rPr>
        <w:t xml:space="preserve"> 月</w:t>
      </w:r>
      <w:r>
        <w:rPr>
          <w:rStyle w:val="58"/>
          <w:rFonts w:hint="eastAsia" w:ascii="宋体" w:hAnsi="宋体"/>
          <w:szCs w:val="21"/>
        </w:rPr>
        <w:t xml:space="preserve"> </w:t>
      </w:r>
      <w:r>
        <w:rPr>
          <w:rStyle w:val="58"/>
          <w:rFonts w:ascii="宋体" w:hAnsi="宋体"/>
          <w:szCs w:val="21"/>
        </w:rPr>
        <w:t xml:space="preserve"> 日</w:t>
      </w:r>
    </w:p>
    <w:p>
      <w:pPr>
        <w:spacing w:line="500" w:lineRule="exact"/>
        <w:ind w:right="945"/>
        <w:rPr>
          <w:rStyle w:val="58"/>
          <w:rFonts w:ascii="宋体" w:hAnsi="宋体"/>
          <w:szCs w:val="21"/>
        </w:rPr>
      </w:pPr>
      <w:r>
        <w:rPr>
          <w:rStyle w:val="58"/>
          <w:rFonts w:ascii="宋体" w:hAnsi="宋体"/>
          <w:szCs w:val="21"/>
        </w:rPr>
        <w:br w:type="page"/>
      </w:r>
    </w:p>
    <w:p>
      <w:pPr>
        <w:pStyle w:val="7"/>
        <w:spacing w:before="0" w:after="0" w:line="480" w:lineRule="auto"/>
        <w:jc w:val="center"/>
        <w:rPr>
          <w:sz w:val="30"/>
          <w:szCs w:val="30"/>
        </w:rPr>
      </w:pPr>
      <w:bookmarkStart w:id="198" w:name="_Toc23544"/>
      <w:bookmarkStart w:id="199" w:name="_Toc16064000"/>
      <w:bookmarkStart w:id="200" w:name="_Toc211261932"/>
      <w:bookmarkStart w:id="201" w:name="_Toc29134"/>
      <w:bookmarkStart w:id="202" w:name="_Toc17817350"/>
      <w:r>
        <w:rPr>
          <w:sz w:val="30"/>
          <w:szCs w:val="30"/>
        </w:rPr>
        <w:t>三、授权委托书</w:t>
      </w:r>
      <w:bookmarkEnd w:id="198"/>
      <w:bookmarkEnd w:id="199"/>
      <w:bookmarkEnd w:id="200"/>
      <w:bookmarkEnd w:id="201"/>
      <w:bookmarkEnd w:id="202"/>
    </w:p>
    <w:p>
      <w:pPr>
        <w:spacing w:line="360" w:lineRule="auto"/>
        <w:jc w:val="center"/>
        <w:rPr>
          <w:rFonts w:ascii="宋体" w:hAnsi="宋体"/>
          <w:b/>
          <w:sz w:val="32"/>
          <w:szCs w:val="32"/>
        </w:rPr>
      </w:pPr>
      <w:bookmarkStart w:id="203" w:name="_Hlk161835218"/>
      <w:r>
        <w:rPr>
          <w:rFonts w:hint="eastAsia" w:ascii="宋体" w:hAnsi="宋体"/>
          <w:b/>
          <w:sz w:val="32"/>
          <w:szCs w:val="32"/>
        </w:rPr>
        <w:t>法人授权委托书</w:t>
      </w:r>
    </w:p>
    <w:p>
      <w:pPr>
        <w:snapToGrid w:val="0"/>
        <w:spacing w:line="360" w:lineRule="auto"/>
        <w:rPr>
          <w:rFonts w:ascii="宋体" w:cs="宋体"/>
          <w:sz w:val="24"/>
        </w:rPr>
      </w:pPr>
      <w:r>
        <w:rPr>
          <w:rFonts w:hint="eastAsia" w:ascii="宋体" w:cs="宋体"/>
          <w:sz w:val="24"/>
        </w:rPr>
        <w:t>致:</w:t>
      </w:r>
      <w:r>
        <w:rPr>
          <w:rFonts w:hint="eastAsia" w:ascii="宋体" w:cs="宋体"/>
          <w:sz w:val="24"/>
          <w:u w:val="single"/>
        </w:rPr>
        <w:t xml:space="preserve">                    </w:t>
      </w:r>
    </w:p>
    <w:p>
      <w:pPr>
        <w:snapToGrid w:val="0"/>
        <w:spacing w:line="360" w:lineRule="auto"/>
        <w:ind w:firstLine="480" w:firstLineChars="200"/>
        <w:rPr>
          <w:rFonts w:ascii="宋体" w:cs="宋体"/>
          <w:sz w:val="24"/>
        </w:rPr>
      </w:pPr>
      <w:r>
        <w:rPr>
          <w:rFonts w:hint="eastAsia" w:ascii="宋体" w:cs="宋体"/>
          <w:sz w:val="24"/>
        </w:rPr>
        <w:t>本授权书宣告，我单位</w:t>
      </w:r>
      <w:r>
        <w:rPr>
          <w:rFonts w:hint="eastAsia" w:ascii="宋体" w:cs="宋体"/>
          <w:sz w:val="24"/>
          <w:u w:val="single"/>
        </w:rPr>
        <w:t xml:space="preserve">            </w:t>
      </w:r>
      <w:r>
        <w:rPr>
          <w:rFonts w:hint="eastAsia" w:ascii="宋体" w:cs="宋体"/>
          <w:sz w:val="24"/>
        </w:rPr>
        <w:t>（以下简称“投标人”）授权</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 xml:space="preserve"> （姓名）</w:t>
      </w:r>
      <w:r>
        <w:rPr>
          <w:rFonts w:hint="eastAsia" w:ascii="宋体" w:cs="宋体"/>
          <w:sz w:val="24"/>
        </w:rPr>
        <w:t>为本单位的合法代理人，授权其在</w:t>
      </w:r>
      <w:r>
        <w:rPr>
          <w:rFonts w:hint="eastAsia" w:ascii="宋体" w:cs="宋体"/>
          <w:sz w:val="24"/>
          <w:u w:val="single"/>
        </w:rPr>
        <w:t xml:space="preserve">  </w:t>
      </w:r>
      <w:r>
        <w:rPr>
          <w:rFonts w:ascii="宋体" w:cs="宋体"/>
          <w:sz w:val="24"/>
          <w:u w:val="single"/>
        </w:rPr>
        <w:t xml:space="preserve">                  </w:t>
      </w:r>
      <w:r>
        <w:rPr>
          <w:rFonts w:hint="eastAsia" w:ascii="宋体" w:cs="宋体"/>
          <w:sz w:val="24"/>
          <w:u w:val="single"/>
        </w:rPr>
        <w:t>项目</w:t>
      </w:r>
      <w:r>
        <w:rPr>
          <w:rFonts w:hint="eastAsia" w:ascii="宋体" w:cs="宋体"/>
          <w:sz w:val="24"/>
        </w:rPr>
        <w:t>的投标活动中，以本单位的名义，并代表投标人</w:t>
      </w:r>
      <w:r>
        <w:rPr>
          <w:sz w:val="24"/>
        </w:rPr>
        <w:t>签署、澄清、说明、补正、递交、撤回、修改</w:t>
      </w:r>
      <w:r>
        <w:rPr>
          <w:rFonts w:hint="eastAsia" w:ascii="宋体" w:cs="宋体"/>
          <w:sz w:val="24"/>
        </w:rPr>
        <w:t>文件和处理一切与本项目有关的事务，包括合同签订。代理人在本招标及合同签订活动中的一切行为，均代表本单位，与本人的行为具有同等法律效力。</w:t>
      </w:r>
    </w:p>
    <w:p>
      <w:pPr>
        <w:snapToGrid w:val="0"/>
        <w:spacing w:line="360" w:lineRule="auto"/>
        <w:ind w:firstLine="480"/>
        <w:rPr>
          <w:rFonts w:ascii="宋体" w:cs="宋体"/>
          <w:sz w:val="24"/>
          <w:u w:val="single"/>
        </w:rPr>
      </w:pPr>
      <w:r>
        <w:rPr>
          <w:rFonts w:hint="eastAsia" w:ascii="宋体" w:cs="宋体"/>
          <w:sz w:val="24"/>
        </w:rPr>
        <w:t>有效期：</w:t>
      </w:r>
      <w:r>
        <w:rPr>
          <w:rFonts w:hint="eastAsia" w:ascii="宋体" w:cs="宋体"/>
          <w:sz w:val="24"/>
          <w:u w:val="single"/>
        </w:rPr>
        <w:t xml:space="preserve"> </w:t>
      </w:r>
      <w:r>
        <w:rPr>
          <w:rFonts w:ascii="宋体" w:cs="宋体"/>
          <w:sz w:val="24"/>
          <w:u w:val="single"/>
        </w:rPr>
        <w:t xml:space="preserve">          </w:t>
      </w:r>
    </w:p>
    <w:p>
      <w:pPr>
        <w:snapToGrid w:val="0"/>
        <w:spacing w:line="360" w:lineRule="auto"/>
        <w:ind w:firstLine="480"/>
        <w:rPr>
          <w:rFonts w:ascii="宋体" w:cs="宋体"/>
          <w:sz w:val="24"/>
        </w:rPr>
      </w:pPr>
      <w:r>
        <w:rPr>
          <w:rFonts w:hint="eastAsia" w:ascii="宋体" w:cs="宋体"/>
          <w:sz w:val="24"/>
        </w:rPr>
        <w:t xml:space="preserve">代理人无权转换委托权。特此委托。  </w:t>
      </w:r>
    </w:p>
    <w:tbl>
      <w:tblPr>
        <w:tblStyle w:val="37"/>
        <w:tblW w:w="8506" w:type="dxa"/>
        <w:tblInd w:w="-147" w:type="dxa"/>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Layout w:type="fixed"/>
        <w:tblCellMar>
          <w:top w:w="0" w:type="dxa"/>
          <w:left w:w="108" w:type="dxa"/>
          <w:bottom w:w="0" w:type="dxa"/>
          <w:right w:w="108" w:type="dxa"/>
        </w:tblCellMar>
      </w:tblPr>
      <w:tblGrid>
        <w:gridCol w:w="8506"/>
      </w:tblGrid>
      <w:tr>
        <w:tblPrEx>
          <w:tblBorders>
            <w:top w:val="dashed" w:color="auto" w:sz="4" w:space="0"/>
            <w:left w:val="dashed" w:color="auto" w:sz="4" w:space="0"/>
            <w:bottom w:val="dashed" w:color="auto" w:sz="4" w:space="0"/>
            <w:right w:val="dashed" w:color="auto" w:sz="4" w:space="0"/>
            <w:insideH w:val="dashed" w:color="auto" w:sz="4" w:space="0"/>
            <w:insideV w:val="dashed" w:color="auto" w:sz="4" w:space="0"/>
          </w:tblBorders>
          <w:tblCellMar>
            <w:top w:w="0" w:type="dxa"/>
            <w:left w:w="108" w:type="dxa"/>
            <w:bottom w:w="0" w:type="dxa"/>
            <w:right w:w="108" w:type="dxa"/>
          </w:tblCellMar>
        </w:tblPrEx>
        <w:trPr>
          <w:trHeight w:val="4563" w:hRule="atLeast"/>
        </w:trPr>
        <w:tc>
          <w:tcPr>
            <w:tcW w:w="8506" w:type="dxa"/>
          </w:tcPr>
          <w:p>
            <w:pPr>
              <w:snapToGrid w:val="0"/>
              <w:spacing w:line="360" w:lineRule="auto"/>
              <w:ind w:firstLine="480" w:firstLineChars="200"/>
              <w:jc w:val="left"/>
              <w:rPr>
                <w:rFonts w:ascii="宋体" w:cs="宋体"/>
                <w:sz w:val="24"/>
              </w:rPr>
            </w:pPr>
            <w:r>
              <w:rPr>
                <w:rFonts w:hint="eastAsia" w:ascii="宋体" w:cs="宋体"/>
                <w:sz w:val="24"/>
              </w:rPr>
              <w:t>（</w:t>
            </w:r>
            <w:r>
              <w:rPr>
                <w:rFonts w:hint="eastAsia" w:ascii="宋体" w:cs="宋体"/>
                <w:b/>
                <w:bCs/>
                <w:sz w:val="24"/>
              </w:rPr>
              <w:t>法定代表人</w:t>
            </w:r>
            <w:r>
              <w:rPr>
                <w:rFonts w:hint="eastAsia" w:ascii="宋体" w:cs="宋体"/>
                <w:sz w:val="24"/>
              </w:rPr>
              <w:t>及</w:t>
            </w:r>
            <w:r>
              <w:rPr>
                <w:rFonts w:hint="eastAsia" w:ascii="宋体" w:cs="宋体"/>
                <w:b/>
                <w:bCs/>
                <w:sz w:val="24"/>
              </w:rPr>
              <w:t>委托代理人</w:t>
            </w:r>
            <w:r>
              <w:rPr>
                <w:rFonts w:hint="eastAsia" w:ascii="宋体" w:cs="宋体"/>
                <w:sz w:val="24"/>
              </w:rPr>
              <w:t>身份证正、反面复印件）</w:t>
            </w:r>
          </w:p>
          <w:p>
            <w:pPr>
              <w:snapToGrid w:val="0"/>
              <w:spacing w:line="360" w:lineRule="auto"/>
              <w:ind w:firstLine="480"/>
              <w:rPr>
                <w:rFonts w:ascii="宋体" w:cs="宋体"/>
                <w:sz w:val="24"/>
              </w:rPr>
            </w:pPr>
          </w:p>
          <w:p>
            <w:pPr>
              <w:pStyle w:val="28"/>
            </w:pPr>
          </w:p>
          <w:p/>
          <w:p>
            <w:pPr>
              <w:pStyle w:val="28"/>
            </w:pPr>
          </w:p>
        </w:tc>
      </w:tr>
    </w:tbl>
    <w:p>
      <w:pPr>
        <w:snapToGrid w:val="0"/>
        <w:spacing w:line="360" w:lineRule="auto"/>
        <w:rPr>
          <w:rFonts w:ascii="宋体" w:cs="宋体"/>
          <w:sz w:val="24"/>
        </w:rPr>
      </w:pPr>
      <w:r>
        <w:rPr>
          <w:rFonts w:hint="eastAsia" w:ascii="宋体" w:cs="宋体"/>
          <w:sz w:val="24"/>
        </w:rPr>
        <w:t>代理人姓名：</w:t>
      </w:r>
      <w:r>
        <w:rPr>
          <w:rFonts w:hint="eastAsia" w:ascii="宋体" w:cs="宋体"/>
          <w:sz w:val="24"/>
          <w:u w:val="single"/>
        </w:rPr>
        <w:t xml:space="preserve">          </w:t>
      </w:r>
      <w:r>
        <w:rPr>
          <w:rFonts w:hint="eastAsia" w:ascii="宋体" w:cs="宋体"/>
          <w:sz w:val="24"/>
        </w:rPr>
        <w:t xml:space="preserve"> 性别：</w:t>
      </w:r>
      <w:r>
        <w:rPr>
          <w:rFonts w:hint="eastAsia" w:ascii="宋体" w:cs="宋体"/>
          <w:sz w:val="24"/>
          <w:u w:val="single"/>
        </w:rPr>
        <w:t xml:space="preserve"> </w:t>
      </w:r>
      <w:r>
        <w:rPr>
          <w:rFonts w:ascii="宋体" w:cs="宋体"/>
          <w:sz w:val="24"/>
          <w:u w:val="single"/>
        </w:rPr>
        <w:t xml:space="preserve">          </w:t>
      </w:r>
    </w:p>
    <w:p>
      <w:pPr>
        <w:tabs>
          <w:tab w:val="left" w:pos="4395"/>
        </w:tabs>
        <w:snapToGrid w:val="0"/>
        <w:spacing w:line="360" w:lineRule="auto"/>
        <w:ind w:right="240"/>
        <w:jc w:val="left"/>
        <w:rPr>
          <w:rStyle w:val="58"/>
          <w:rFonts w:ascii="宋体" w:hAnsi="宋体"/>
          <w:szCs w:val="21"/>
        </w:rPr>
      </w:pPr>
      <w:r>
        <w:rPr>
          <w:rFonts w:hint="eastAsia" w:ascii="宋体" w:cs="宋体"/>
          <w:sz w:val="24"/>
        </w:rPr>
        <w:t xml:space="preserve">年龄： </w:t>
      </w:r>
      <w:r>
        <w:rPr>
          <w:rFonts w:hint="eastAsia" w:ascii="宋体" w:cs="宋体"/>
          <w:sz w:val="24"/>
          <w:u w:val="single"/>
        </w:rPr>
        <w:t xml:space="preserve">               </w:t>
      </w:r>
      <w:r>
        <w:rPr>
          <w:rFonts w:hint="eastAsia" w:ascii="宋体" w:cs="宋体"/>
          <w:sz w:val="24"/>
        </w:rPr>
        <w:t xml:space="preserve"> 职务：</w:t>
      </w:r>
      <w:r>
        <w:rPr>
          <w:rFonts w:hint="eastAsia" w:ascii="宋体" w:cs="宋体"/>
          <w:sz w:val="24"/>
          <w:u w:val="single"/>
        </w:rPr>
        <w:t xml:space="preserve">           </w:t>
      </w:r>
      <w:r>
        <w:rPr>
          <w:rFonts w:hint="eastAsia" w:ascii="宋体" w:cs="宋体"/>
          <w:sz w:val="24"/>
        </w:rPr>
        <w:t xml:space="preserve">       </w:t>
      </w:r>
    </w:p>
    <w:p>
      <w:pPr>
        <w:spacing w:line="400" w:lineRule="exact"/>
        <w:ind w:firstLine="3570" w:firstLineChars="1700"/>
        <w:rPr>
          <w:rStyle w:val="58"/>
          <w:rFonts w:ascii="宋体" w:hAnsi="宋体"/>
          <w:szCs w:val="21"/>
        </w:rPr>
      </w:pPr>
      <w:r>
        <w:rPr>
          <w:rStyle w:val="58"/>
          <w:rFonts w:ascii="宋体" w:hAnsi="宋体"/>
          <w:szCs w:val="21"/>
        </w:rPr>
        <w:t>投  标  人：（盖单位公章）</w:t>
      </w:r>
    </w:p>
    <w:p>
      <w:pPr>
        <w:spacing w:line="400" w:lineRule="exact"/>
        <w:ind w:firstLine="3570" w:firstLineChars="1700"/>
        <w:rPr>
          <w:rStyle w:val="58"/>
          <w:rFonts w:ascii="宋体" w:hAnsi="宋体"/>
          <w:szCs w:val="21"/>
        </w:rPr>
      </w:pPr>
      <w:r>
        <w:rPr>
          <w:rStyle w:val="58"/>
          <w:rFonts w:ascii="宋体" w:hAnsi="宋体"/>
          <w:szCs w:val="21"/>
        </w:rPr>
        <w:t>法定代表人：（签字或盖章）</w:t>
      </w:r>
    </w:p>
    <w:p>
      <w:pPr>
        <w:spacing w:line="400" w:lineRule="exact"/>
        <w:ind w:firstLine="3570" w:firstLineChars="1700"/>
        <w:rPr>
          <w:rStyle w:val="58"/>
          <w:rFonts w:ascii="宋体" w:hAnsi="宋体"/>
          <w:szCs w:val="21"/>
          <w:u w:val="single"/>
        </w:rPr>
      </w:pPr>
      <w:r>
        <w:rPr>
          <w:rStyle w:val="58"/>
          <w:rFonts w:ascii="宋体" w:hAnsi="宋体"/>
          <w:szCs w:val="21"/>
        </w:rPr>
        <w:t>身份证号码：</w:t>
      </w:r>
    </w:p>
    <w:p>
      <w:pPr>
        <w:spacing w:line="400" w:lineRule="exact"/>
        <w:ind w:firstLine="3570" w:firstLineChars="1700"/>
        <w:rPr>
          <w:rStyle w:val="58"/>
          <w:rFonts w:ascii="宋体" w:hAnsi="宋体"/>
          <w:szCs w:val="21"/>
        </w:rPr>
      </w:pPr>
      <w:r>
        <w:rPr>
          <w:rStyle w:val="58"/>
          <w:rFonts w:ascii="宋体" w:hAnsi="宋体"/>
          <w:szCs w:val="21"/>
        </w:rPr>
        <w:t>委托代理人：（签字）</w:t>
      </w:r>
    </w:p>
    <w:p>
      <w:pPr>
        <w:spacing w:line="400" w:lineRule="exact"/>
        <w:ind w:firstLine="3570" w:firstLineChars="1700"/>
        <w:rPr>
          <w:rStyle w:val="58"/>
          <w:rFonts w:ascii="宋体" w:hAnsi="宋体"/>
          <w:szCs w:val="21"/>
          <w:u w:val="single"/>
        </w:rPr>
      </w:pPr>
      <w:r>
        <w:rPr>
          <w:rStyle w:val="58"/>
          <w:rFonts w:ascii="宋体" w:hAnsi="宋体"/>
          <w:szCs w:val="21"/>
        </w:rPr>
        <w:t>身份证号码：</w:t>
      </w:r>
    </w:p>
    <w:p>
      <w:pPr>
        <w:spacing w:line="400" w:lineRule="exact"/>
        <w:ind w:firstLine="3542" w:firstLineChars="1687"/>
        <w:rPr>
          <w:rStyle w:val="58"/>
          <w:rFonts w:ascii="宋体" w:hAnsi="宋体"/>
          <w:szCs w:val="21"/>
        </w:rPr>
      </w:pPr>
      <w:r>
        <w:rPr>
          <w:rStyle w:val="58"/>
          <w:rFonts w:hint="eastAsia" w:ascii="宋体" w:hAnsi="宋体"/>
          <w:szCs w:val="21"/>
        </w:rPr>
        <w:t xml:space="preserve">日 </w:t>
      </w:r>
      <w:r>
        <w:rPr>
          <w:rStyle w:val="58"/>
          <w:rFonts w:ascii="宋体" w:hAnsi="宋体"/>
          <w:szCs w:val="21"/>
        </w:rPr>
        <w:t xml:space="preserve">     </w:t>
      </w:r>
      <w:r>
        <w:rPr>
          <w:rStyle w:val="58"/>
          <w:rFonts w:hint="eastAsia" w:ascii="宋体" w:hAnsi="宋体"/>
          <w:szCs w:val="21"/>
        </w:rPr>
        <w:t xml:space="preserve">期： </w:t>
      </w:r>
      <w:r>
        <w:rPr>
          <w:rStyle w:val="58"/>
          <w:rFonts w:ascii="宋体" w:hAnsi="宋体"/>
          <w:szCs w:val="21"/>
        </w:rPr>
        <w:t xml:space="preserve"> 年</w:t>
      </w:r>
      <w:r>
        <w:rPr>
          <w:rStyle w:val="58"/>
          <w:rFonts w:hint="eastAsia" w:ascii="宋体" w:hAnsi="宋体"/>
          <w:szCs w:val="21"/>
        </w:rPr>
        <w:t xml:space="preserve"> </w:t>
      </w:r>
      <w:r>
        <w:rPr>
          <w:rStyle w:val="58"/>
          <w:rFonts w:ascii="宋体" w:hAnsi="宋体"/>
          <w:szCs w:val="21"/>
        </w:rPr>
        <w:t xml:space="preserve"> 月</w:t>
      </w:r>
      <w:r>
        <w:rPr>
          <w:rStyle w:val="58"/>
          <w:rFonts w:hint="eastAsia" w:ascii="宋体" w:hAnsi="宋体"/>
          <w:szCs w:val="21"/>
        </w:rPr>
        <w:t xml:space="preserve"> </w:t>
      </w:r>
      <w:r>
        <w:rPr>
          <w:rStyle w:val="58"/>
          <w:rFonts w:ascii="宋体" w:hAnsi="宋体"/>
          <w:szCs w:val="21"/>
        </w:rPr>
        <w:t xml:space="preserve"> 日</w:t>
      </w:r>
    </w:p>
    <w:bookmarkEnd w:id="203"/>
    <w:p>
      <w:pPr>
        <w:pStyle w:val="66"/>
        <w:spacing w:before="0" w:after="0"/>
        <w:jc w:val="center"/>
        <w:rPr>
          <w:rStyle w:val="58"/>
          <w:rFonts w:ascii="宋体" w:hAnsi="宋体"/>
          <w:sz w:val="28"/>
          <w:szCs w:val="28"/>
        </w:rPr>
      </w:pPr>
      <w:r>
        <w:rPr>
          <w:rStyle w:val="58"/>
          <w:rFonts w:ascii="宋体" w:hAnsi="宋体"/>
          <w:sz w:val="28"/>
          <w:szCs w:val="28"/>
        </w:rPr>
        <w:br w:type="page"/>
      </w:r>
    </w:p>
    <w:p>
      <w:pPr>
        <w:pStyle w:val="7"/>
        <w:spacing w:before="0" w:after="0" w:line="480" w:lineRule="auto"/>
        <w:jc w:val="center"/>
        <w:rPr>
          <w:sz w:val="30"/>
          <w:szCs w:val="30"/>
        </w:rPr>
      </w:pPr>
      <w:bookmarkStart w:id="204" w:name="_Toc211261933"/>
      <w:bookmarkStart w:id="205" w:name="_Toc6247"/>
      <w:bookmarkStart w:id="206" w:name="_Toc17817351"/>
      <w:bookmarkStart w:id="207" w:name="_Toc20930"/>
      <w:bookmarkStart w:id="208" w:name="_Toc16064001"/>
      <w:r>
        <w:rPr>
          <w:sz w:val="30"/>
          <w:szCs w:val="30"/>
        </w:rPr>
        <w:t>四、投标保证金</w:t>
      </w:r>
      <w:bookmarkEnd w:id="204"/>
      <w:bookmarkEnd w:id="205"/>
      <w:bookmarkEnd w:id="206"/>
      <w:bookmarkEnd w:id="207"/>
      <w:bookmarkEnd w:id="208"/>
    </w:p>
    <w:p>
      <w:pPr>
        <w:spacing w:line="460" w:lineRule="exact"/>
        <w:rPr>
          <w:rStyle w:val="58"/>
          <w:rFonts w:ascii="宋体" w:hAnsi="宋体"/>
          <w:sz w:val="24"/>
          <w:szCs w:val="20"/>
        </w:rPr>
      </w:pPr>
      <w:r>
        <w:rPr>
          <w:rStyle w:val="58"/>
          <w:rFonts w:ascii="宋体" w:hAnsi="宋体"/>
          <w:sz w:val="24"/>
          <w:szCs w:val="20"/>
        </w:rPr>
        <w:t>附：1、投标保证金汇款凭证（加盖单位公章）；</w:t>
      </w:r>
    </w:p>
    <w:p>
      <w:pPr>
        <w:rPr>
          <w:rStyle w:val="58"/>
          <w:rFonts w:ascii="宋体" w:hAnsi="宋体"/>
          <w:b/>
          <w:sz w:val="20"/>
          <w:szCs w:val="22"/>
        </w:rPr>
      </w:pPr>
      <w:r>
        <w:rPr>
          <w:rStyle w:val="58"/>
          <w:rFonts w:ascii="宋体" w:hAnsi="宋体"/>
          <w:sz w:val="24"/>
          <w:szCs w:val="20"/>
        </w:rPr>
        <w:t xml:space="preserve">    2、投标保证金退还信息（格式）；</w:t>
      </w:r>
    </w:p>
    <w:p>
      <w:pPr>
        <w:spacing w:line="460" w:lineRule="exact"/>
        <w:rPr>
          <w:rStyle w:val="58"/>
          <w:rFonts w:ascii="宋体" w:hAnsi="宋体"/>
          <w:sz w:val="28"/>
          <w:szCs w:val="21"/>
        </w:rPr>
      </w:pPr>
    </w:p>
    <w:p>
      <w:pPr>
        <w:jc w:val="center"/>
        <w:rPr>
          <w:rStyle w:val="58"/>
          <w:rFonts w:ascii="宋体" w:hAnsi="宋体"/>
          <w:b/>
        </w:rPr>
      </w:pPr>
    </w:p>
    <w:p>
      <w:pPr>
        <w:jc w:val="center"/>
        <w:rPr>
          <w:rStyle w:val="58"/>
          <w:rFonts w:ascii="宋体" w:hAnsi="宋体"/>
          <w:b/>
        </w:rPr>
      </w:pPr>
      <w:r>
        <w:rPr>
          <w:rStyle w:val="58"/>
          <w:rFonts w:ascii="宋体" w:hAnsi="宋体"/>
          <w:b/>
        </w:rPr>
        <w:t>投标保证金退还信息</w:t>
      </w:r>
    </w:p>
    <w:p>
      <w:pPr>
        <w:spacing w:line="600" w:lineRule="exact"/>
        <w:rPr>
          <w:rStyle w:val="58"/>
          <w:rFonts w:ascii="宋体" w:hAnsi="宋体"/>
          <w:sz w:val="22"/>
        </w:rPr>
      </w:pPr>
      <w:r>
        <w:rPr>
          <w:rStyle w:val="58"/>
          <w:rFonts w:hint="eastAsia" w:ascii="宋体" w:hAnsi="宋体"/>
          <w:sz w:val="22"/>
          <w:u w:val="single"/>
        </w:rPr>
        <w:t xml:space="preserve">                    </w:t>
      </w:r>
      <w:r>
        <w:rPr>
          <w:rStyle w:val="58"/>
          <w:rFonts w:ascii="宋体" w:hAnsi="宋体"/>
          <w:sz w:val="22"/>
        </w:rPr>
        <w:t>：</w:t>
      </w:r>
    </w:p>
    <w:p>
      <w:pPr>
        <w:spacing w:line="600" w:lineRule="exact"/>
        <w:rPr>
          <w:rStyle w:val="58"/>
          <w:rFonts w:ascii="宋体" w:hAnsi="宋体"/>
          <w:sz w:val="22"/>
        </w:rPr>
      </w:pPr>
      <w:r>
        <w:rPr>
          <w:rStyle w:val="58"/>
          <w:rFonts w:ascii="宋体" w:hAnsi="宋体"/>
          <w:sz w:val="22"/>
        </w:rPr>
        <w:t xml:space="preserve">   请贵公司将</w:t>
      </w:r>
      <w:r>
        <w:rPr>
          <w:rStyle w:val="58"/>
          <w:rFonts w:ascii="宋体" w:hAnsi="宋体"/>
          <w:sz w:val="22"/>
          <w:u w:val="single"/>
        </w:rPr>
        <w:t xml:space="preserve">                  （</w:t>
      </w:r>
      <w:r>
        <w:rPr>
          <w:rStyle w:val="58"/>
          <w:rFonts w:ascii="宋体" w:hAnsi="宋体"/>
          <w:sz w:val="22"/>
        </w:rPr>
        <w:t>项目名称）的投标保证金，退还至我公司以下账户：</w:t>
      </w:r>
    </w:p>
    <w:p>
      <w:pPr>
        <w:spacing w:line="600" w:lineRule="exact"/>
        <w:rPr>
          <w:rStyle w:val="58"/>
          <w:rFonts w:ascii="宋体" w:hAnsi="宋体"/>
          <w:sz w:val="22"/>
          <w:u w:val="single"/>
        </w:rPr>
      </w:pPr>
      <w:r>
        <w:rPr>
          <w:rStyle w:val="58"/>
          <w:rFonts w:ascii="宋体" w:hAnsi="宋体"/>
          <w:sz w:val="22"/>
        </w:rPr>
        <w:t xml:space="preserve">   开户名称： </w:t>
      </w:r>
    </w:p>
    <w:p>
      <w:pPr>
        <w:tabs>
          <w:tab w:val="decimal" w:pos="0"/>
          <w:tab w:val="decimal" w:pos="840"/>
          <w:tab w:val="decimal" w:pos="955"/>
        </w:tabs>
        <w:snapToGrid w:val="0"/>
        <w:spacing w:before="72" w:line="600" w:lineRule="exact"/>
        <w:ind w:firstLine="330" w:firstLineChars="150"/>
        <w:rPr>
          <w:rStyle w:val="58"/>
          <w:rFonts w:ascii="宋体" w:hAnsi="宋体"/>
          <w:sz w:val="22"/>
        </w:rPr>
      </w:pPr>
      <w:r>
        <w:rPr>
          <w:rStyle w:val="58"/>
          <w:rFonts w:ascii="宋体" w:hAnsi="宋体"/>
          <w:sz w:val="22"/>
        </w:rPr>
        <w:t xml:space="preserve">开户银行： </w:t>
      </w:r>
    </w:p>
    <w:p>
      <w:pPr>
        <w:tabs>
          <w:tab w:val="decimal" w:pos="0"/>
          <w:tab w:val="decimal" w:pos="840"/>
          <w:tab w:val="decimal" w:pos="955"/>
        </w:tabs>
        <w:snapToGrid w:val="0"/>
        <w:spacing w:before="72" w:line="600" w:lineRule="exact"/>
        <w:ind w:firstLine="330" w:firstLineChars="150"/>
        <w:rPr>
          <w:rStyle w:val="58"/>
          <w:rFonts w:ascii="宋体" w:hAnsi="宋体"/>
          <w:sz w:val="22"/>
        </w:rPr>
      </w:pPr>
      <w:r>
        <w:rPr>
          <w:rStyle w:val="58"/>
          <w:rFonts w:ascii="宋体" w:hAnsi="宋体"/>
          <w:sz w:val="22"/>
        </w:rPr>
        <w:t>帐    号：</w:t>
      </w:r>
    </w:p>
    <w:p>
      <w:pPr>
        <w:tabs>
          <w:tab w:val="decimal" w:pos="0"/>
          <w:tab w:val="decimal" w:pos="840"/>
          <w:tab w:val="decimal" w:pos="955"/>
        </w:tabs>
        <w:snapToGrid w:val="0"/>
        <w:spacing w:before="72" w:line="600" w:lineRule="exact"/>
        <w:ind w:firstLine="330" w:firstLineChars="150"/>
        <w:rPr>
          <w:rStyle w:val="58"/>
          <w:rFonts w:ascii="宋体" w:hAnsi="宋体"/>
          <w:sz w:val="22"/>
          <w:szCs w:val="22"/>
        </w:rPr>
      </w:pPr>
      <w:r>
        <w:rPr>
          <w:rStyle w:val="58"/>
          <w:rFonts w:hint="eastAsia" w:ascii="宋体" w:hAnsi="宋体"/>
          <w:sz w:val="22"/>
          <w:szCs w:val="22"/>
        </w:rPr>
        <w:t>联 行 号：</w:t>
      </w:r>
    </w:p>
    <w:p>
      <w:pPr>
        <w:spacing w:line="360" w:lineRule="auto"/>
        <w:rPr>
          <w:rStyle w:val="58"/>
          <w:rFonts w:ascii="宋体" w:hAnsi="宋体"/>
          <w:sz w:val="22"/>
        </w:rPr>
      </w:pPr>
    </w:p>
    <w:p>
      <w:pPr>
        <w:spacing w:line="600" w:lineRule="exact"/>
        <w:rPr>
          <w:rStyle w:val="58"/>
          <w:rFonts w:ascii="宋体" w:hAnsi="宋体"/>
          <w:sz w:val="22"/>
        </w:rPr>
      </w:pPr>
      <w:r>
        <w:rPr>
          <w:rStyle w:val="58"/>
          <w:rFonts w:ascii="宋体" w:hAnsi="宋体"/>
          <w:sz w:val="22"/>
        </w:rPr>
        <w:t xml:space="preserve">                     投标单位（盖单位公章）：                  </w:t>
      </w:r>
    </w:p>
    <w:p>
      <w:pPr>
        <w:spacing w:line="600" w:lineRule="exact"/>
        <w:rPr>
          <w:rStyle w:val="58"/>
          <w:rFonts w:ascii="宋体" w:hAnsi="宋体"/>
          <w:sz w:val="22"/>
        </w:rPr>
      </w:pPr>
      <w:r>
        <w:rPr>
          <w:rStyle w:val="58"/>
          <w:rFonts w:ascii="宋体" w:hAnsi="宋体"/>
          <w:sz w:val="22"/>
        </w:rPr>
        <w:t xml:space="preserve">                     日  期：       年   月  日</w:t>
      </w:r>
    </w:p>
    <w:p>
      <w:pPr>
        <w:spacing w:line="460" w:lineRule="exact"/>
        <w:rPr>
          <w:rStyle w:val="58"/>
          <w:rFonts w:ascii="宋体" w:hAnsi="宋体"/>
          <w:b/>
          <w:bCs/>
          <w:szCs w:val="42"/>
        </w:rPr>
      </w:pPr>
      <w:r>
        <w:rPr>
          <w:rStyle w:val="58"/>
          <w:rFonts w:ascii="宋体" w:hAnsi="宋体"/>
          <w:b/>
          <w:bCs/>
          <w:szCs w:val="42"/>
        </w:rPr>
        <w:t>备注：</w:t>
      </w:r>
    </w:p>
    <w:p>
      <w:pPr>
        <w:numPr>
          <w:ilvl w:val="0"/>
          <w:numId w:val="16"/>
        </w:numPr>
        <w:spacing w:line="460" w:lineRule="exact"/>
        <w:rPr>
          <w:rStyle w:val="58"/>
          <w:rFonts w:ascii="宋体" w:hAnsi="宋体"/>
          <w:b/>
          <w:bCs/>
          <w:szCs w:val="42"/>
        </w:rPr>
      </w:pPr>
      <w:r>
        <w:rPr>
          <w:rStyle w:val="58"/>
          <w:rFonts w:ascii="宋体" w:hAnsi="宋体"/>
          <w:b/>
          <w:bCs/>
          <w:szCs w:val="42"/>
        </w:rPr>
        <w:t>以上信息用于退还投标保证金</w:t>
      </w:r>
      <w:r>
        <w:rPr>
          <w:rStyle w:val="58"/>
          <w:rFonts w:hint="eastAsia" w:ascii="宋体" w:hAnsi="宋体"/>
          <w:b/>
          <w:bCs/>
          <w:szCs w:val="42"/>
        </w:rPr>
        <w:t>，缺少以上任意一条信息均无法退还投标保证金</w:t>
      </w:r>
      <w:r>
        <w:rPr>
          <w:rStyle w:val="58"/>
          <w:rFonts w:ascii="宋体" w:hAnsi="宋体"/>
          <w:b/>
          <w:bCs/>
          <w:szCs w:val="42"/>
        </w:rPr>
        <w:t>。</w:t>
      </w:r>
    </w:p>
    <w:p>
      <w:pPr>
        <w:numPr>
          <w:ilvl w:val="0"/>
          <w:numId w:val="16"/>
        </w:numPr>
        <w:spacing w:line="460" w:lineRule="exact"/>
        <w:rPr>
          <w:rStyle w:val="58"/>
          <w:rFonts w:ascii="宋体" w:hAnsi="宋体"/>
          <w:b/>
          <w:bCs/>
          <w:szCs w:val="42"/>
        </w:rPr>
      </w:pPr>
      <w:r>
        <w:rPr>
          <w:rStyle w:val="58"/>
          <w:rFonts w:hint="eastAsia" w:ascii="宋体" w:hAnsi="宋体"/>
          <w:b/>
          <w:bCs/>
          <w:szCs w:val="42"/>
        </w:rPr>
        <w:t>按照招投标法保证金返还相关条款约定，结合我公司财务管理流程等综合因素，保证金退款流程申请成功退款到账时间为：未中标单位自定标之日起最长约60天；</w:t>
      </w:r>
      <w:bookmarkStart w:id="209" w:name="_Hlk161835260"/>
      <w:r>
        <w:rPr>
          <w:rStyle w:val="58"/>
          <w:rFonts w:hint="eastAsia" w:ascii="宋体" w:hAnsi="宋体"/>
          <w:b/>
          <w:bCs/>
          <w:szCs w:val="42"/>
        </w:rPr>
        <w:t>中标人的投标保证金，自动转为履约保证金，待本工程按期竣工验收后予以退还，</w:t>
      </w:r>
      <w:bookmarkEnd w:id="209"/>
      <w:r>
        <w:rPr>
          <w:rStyle w:val="58"/>
          <w:rFonts w:hint="eastAsia" w:ascii="宋体" w:hAnsi="宋体"/>
          <w:b/>
          <w:bCs/>
          <w:szCs w:val="42"/>
        </w:rPr>
        <w:t>因中标人原因导致工期延误产生的工期违约金直接从投标保证金中扣除。请各投标单位知悉且视为认同此条款。</w:t>
      </w:r>
    </w:p>
    <w:p>
      <w:pPr>
        <w:spacing w:line="460" w:lineRule="exact"/>
        <w:jc w:val="center"/>
        <w:rPr>
          <w:rStyle w:val="58"/>
          <w:rFonts w:ascii="宋体" w:hAnsi="宋体"/>
          <w:szCs w:val="21"/>
        </w:rPr>
      </w:pPr>
    </w:p>
    <w:p>
      <w:pPr>
        <w:spacing w:line="460" w:lineRule="exact"/>
        <w:jc w:val="right"/>
        <w:rPr>
          <w:rStyle w:val="58"/>
          <w:rFonts w:ascii="宋体" w:hAnsi="宋体"/>
          <w:szCs w:val="21"/>
        </w:rPr>
      </w:pPr>
    </w:p>
    <w:p>
      <w:pPr>
        <w:spacing w:line="460" w:lineRule="exact"/>
        <w:rPr>
          <w:rStyle w:val="58"/>
          <w:rFonts w:ascii="宋体" w:hAnsi="宋体"/>
          <w:szCs w:val="21"/>
        </w:rPr>
      </w:pPr>
    </w:p>
    <w:p>
      <w:pPr>
        <w:pStyle w:val="66"/>
        <w:spacing w:before="0" w:after="0"/>
        <w:jc w:val="center"/>
        <w:rPr>
          <w:rStyle w:val="58"/>
          <w:rFonts w:ascii="宋体" w:hAnsi="宋体"/>
          <w:szCs w:val="21"/>
        </w:rPr>
      </w:pPr>
      <w:r>
        <w:rPr>
          <w:rStyle w:val="58"/>
          <w:rFonts w:ascii="宋体" w:hAnsi="宋体"/>
          <w:szCs w:val="21"/>
        </w:rPr>
        <w:br w:type="page"/>
      </w:r>
    </w:p>
    <w:p>
      <w:pPr>
        <w:pStyle w:val="7"/>
        <w:spacing w:before="0" w:after="0" w:line="480" w:lineRule="auto"/>
        <w:jc w:val="center"/>
        <w:rPr>
          <w:sz w:val="30"/>
          <w:szCs w:val="30"/>
        </w:rPr>
      </w:pPr>
      <w:bookmarkStart w:id="210" w:name="_Toc16799"/>
      <w:bookmarkStart w:id="211" w:name="_Toc16064002"/>
      <w:bookmarkStart w:id="212" w:name="_Toc211261934"/>
      <w:bookmarkStart w:id="213" w:name="_Toc17817352"/>
      <w:bookmarkStart w:id="214" w:name="_Toc27670"/>
      <w:r>
        <w:rPr>
          <w:sz w:val="30"/>
          <w:szCs w:val="30"/>
        </w:rPr>
        <w:t>五、已标价工程量清单</w:t>
      </w:r>
      <w:bookmarkEnd w:id="210"/>
      <w:bookmarkEnd w:id="211"/>
      <w:bookmarkEnd w:id="212"/>
      <w:bookmarkEnd w:id="213"/>
      <w:bookmarkEnd w:id="214"/>
    </w:p>
    <w:p>
      <w:pPr>
        <w:spacing w:line="460" w:lineRule="exact"/>
        <w:rPr>
          <w:rStyle w:val="58"/>
          <w:rFonts w:ascii="宋体" w:hAnsi="宋体"/>
          <w:szCs w:val="21"/>
        </w:rPr>
      </w:pPr>
      <w:r>
        <w:rPr>
          <w:rStyle w:val="58"/>
          <w:rFonts w:ascii="宋体" w:hAnsi="宋体"/>
          <w:szCs w:val="21"/>
        </w:rPr>
        <w:t>说明：已标价工程量清单按第五章“工程量清单”中的相关清单表格式填写。构成合同文件的已标价工程量清单包括第五章“工程量清单”有关工程量清单、投标报价以及其他说明的内容。</w:t>
      </w:r>
    </w:p>
    <w:p>
      <w:pPr>
        <w:pStyle w:val="66"/>
        <w:jc w:val="center"/>
        <w:rPr>
          <w:sz w:val="30"/>
          <w:szCs w:val="30"/>
        </w:rPr>
      </w:pPr>
      <w:r>
        <w:rPr>
          <w:rStyle w:val="58"/>
          <w:rFonts w:ascii="宋体" w:hAnsi="宋体"/>
          <w:szCs w:val="21"/>
        </w:rPr>
        <w:br w:type="page"/>
      </w:r>
      <w:bookmarkStart w:id="215" w:name="_Toc17817353"/>
      <w:bookmarkStart w:id="216" w:name="_Toc16064003"/>
    </w:p>
    <w:p>
      <w:pPr>
        <w:pStyle w:val="7"/>
        <w:numPr>
          <w:ilvl w:val="0"/>
          <w:numId w:val="17"/>
        </w:numPr>
        <w:spacing w:before="0" w:after="0" w:line="480" w:lineRule="auto"/>
        <w:jc w:val="center"/>
        <w:rPr>
          <w:sz w:val="30"/>
          <w:szCs w:val="30"/>
        </w:rPr>
      </w:pPr>
      <w:bookmarkStart w:id="217" w:name="_Toc29645"/>
      <w:bookmarkStart w:id="218" w:name="_Toc1777"/>
      <w:bookmarkStart w:id="219" w:name="_Toc211261935"/>
      <w:r>
        <w:rPr>
          <w:sz w:val="30"/>
          <w:szCs w:val="30"/>
        </w:rPr>
        <w:t>施工组织设计</w:t>
      </w:r>
      <w:bookmarkEnd w:id="215"/>
      <w:bookmarkEnd w:id="216"/>
      <w:bookmarkEnd w:id="217"/>
      <w:bookmarkEnd w:id="218"/>
      <w:bookmarkEnd w:id="219"/>
    </w:p>
    <w:p>
      <w:pPr>
        <w:spacing w:line="420" w:lineRule="exact"/>
        <w:ind w:firstLine="420" w:firstLineChars="200"/>
        <w:rPr>
          <w:rFonts w:ascii="宋体" w:hAnsi="宋体"/>
          <w:szCs w:val="21"/>
        </w:rPr>
      </w:pPr>
      <w:r>
        <w:rPr>
          <w:rFonts w:hint="eastAsia" w:ascii="宋体" w:hAnsi="宋体"/>
          <w:szCs w:val="21"/>
        </w:rPr>
        <w:t>1．投标人应根据招标文件和对现场的勘察情况，采用文字并结合图表形式，参考以下要点及顺序编制本工程的施工组织设计：</w:t>
      </w:r>
    </w:p>
    <w:p>
      <w:pPr>
        <w:pStyle w:val="67"/>
        <w:numPr>
          <w:ilvl w:val="0"/>
          <w:numId w:val="18"/>
        </w:numPr>
        <w:spacing w:line="420" w:lineRule="exact"/>
        <w:ind w:left="0" w:firstLine="420" w:firstLineChars="0"/>
        <w:rPr>
          <w:rStyle w:val="58"/>
          <w:rFonts w:ascii="宋体"/>
        </w:rPr>
      </w:pPr>
      <w:r>
        <w:rPr>
          <w:rStyle w:val="58"/>
          <w:rFonts w:ascii="宋体"/>
        </w:rPr>
        <w:t>施工组织总体方案</w:t>
      </w:r>
      <w:r>
        <w:rPr>
          <w:rStyle w:val="58"/>
          <w:rFonts w:hint="eastAsia" w:ascii="宋体"/>
        </w:rPr>
        <w:t>（</w:t>
      </w:r>
      <w:r>
        <w:rPr>
          <w:rFonts w:hint="eastAsia" w:ascii="宋体" w:cs="宋体"/>
        </w:rPr>
        <w:t>对项目特点认知、项目管理机构组建、施工准备、现场布置、施工顺序、施工流水段划分、施工劳务队伍选择和组织、材料机械组织等</w:t>
      </w:r>
      <w:r>
        <w:rPr>
          <w:rStyle w:val="58"/>
          <w:rFonts w:hint="eastAsia" w:ascii="宋体"/>
        </w:rPr>
        <w:t>）</w:t>
      </w:r>
      <w:r>
        <w:rPr>
          <w:rStyle w:val="58"/>
          <w:rFonts w:ascii="宋体"/>
        </w:rPr>
        <w:t>；</w:t>
      </w:r>
    </w:p>
    <w:p>
      <w:pPr>
        <w:pStyle w:val="67"/>
        <w:numPr>
          <w:ilvl w:val="0"/>
          <w:numId w:val="18"/>
        </w:numPr>
        <w:spacing w:line="420" w:lineRule="exact"/>
        <w:ind w:left="0" w:firstLine="420" w:firstLineChars="0"/>
        <w:rPr>
          <w:rStyle w:val="58"/>
          <w:rFonts w:ascii="宋体"/>
        </w:rPr>
      </w:pPr>
      <w:r>
        <w:rPr>
          <w:rFonts w:hint="eastAsia" w:ascii="宋体" w:cs="宋体"/>
          <w:kern w:val="0"/>
          <w:szCs w:val="21"/>
        </w:rPr>
        <w:t>施工进度计划及保证措施</w:t>
      </w:r>
      <w:r>
        <w:rPr>
          <w:rFonts w:hint="eastAsia" w:ascii="宋体" w:cs="宋体"/>
        </w:rPr>
        <w:t>（</w:t>
      </w:r>
      <w:r>
        <w:rPr>
          <w:rFonts w:hint="eastAsia" w:ascii="宋体" w:cs="宋体"/>
          <w:kern w:val="0"/>
          <w:szCs w:val="21"/>
        </w:rPr>
        <w:t>1、要求根据建设单位提供的关键节点，提供施工总进度横道图或网络图计划，施工内容要切合实际、全面；2、列举分析本工程的工期风险点及应对保证措施</w:t>
      </w:r>
      <w:r>
        <w:rPr>
          <w:rFonts w:hint="eastAsia" w:ascii="宋体" w:cs="宋体"/>
        </w:rPr>
        <w:t>）</w:t>
      </w:r>
      <w:r>
        <w:rPr>
          <w:rStyle w:val="58"/>
          <w:rFonts w:ascii="宋体"/>
        </w:rPr>
        <w:t>；</w:t>
      </w:r>
    </w:p>
    <w:p>
      <w:pPr>
        <w:pStyle w:val="67"/>
        <w:numPr>
          <w:ilvl w:val="0"/>
          <w:numId w:val="18"/>
        </w:numPr>
        <w:spacing w:line="420" w:lineRule="exact"/>
        <w:ind w:left="0" w:firstLine="420" w:firstLineChars="0"/>
        <w:rPr>
          <w:rStyle w:val="58"/>
          <w:rFonts w:ascii="宋体"/>
        </w:rPr>
      </w:pPr>
      <w:r>
        <w:rPr>
          <w:rFonts w:hint="eastAsia" w:ascii="宋体" w:cs="宋体"/>
        </w:rPr>
        <w:t>关键施工技术、工艺及工程实施的重点、难点分析（要求提炼出招标项目的关键施工工艺、施工重难点、危险性较大的专项工程等）</w:t>
      </w:r>
      <w:r>
        <w:rPr>
          <w:rStyle w:val="58"/>
          <w:rFonts w:ascii="宋体"/>
        </w:rPr>
        <w:t>；</w:t>
      </w:r>
    </w:p>
    <w:p>
      <w:pPr>
        <w:pStyle w:val="67"/>
        <w:numPr>
          <w:ilvl w:val="0"/>
          <w:numId w:val="18"/>
        </w:numPr>
        <w:spacing w:line="420" w:lineRule="exact"/>
        <w:ind w:left="0" w:firstLine="420" w:firstLineChars="0"/>
        <w:rPr>
          <w:rStyle w:val="58"/>
          <w:rFonts w:ascii="宋体"/>
        </w:rPr>
      </w:pPr>
      <w:r>
        <w:rPr>
          <w:rStyle w:val="58"/>
          <w:rFonts w:hint="eastAsia" w:ascii="宋体"/>
        </w:rPr>
        <w:t>质量</w:t>
      </w:r>
      <w:r>
        <w:rPr>
          <w:rStyle w:val="58"/>
          <w:rFonts w:ascii="宋体"/>
        </w:rPr>
        <w:t>保证措施</w:t>
      </w:r>
      <w:r>
        <w:rPr>
          <w:rFonts w:hint="eastAsia" w:ascii="宋体" w:cs="宋体"/>
          <w:kern w:val="0"/>
          <w:szCs w:val="21"/>
        </w:rPr>
        <w:t>（要求针对性分析本工程容易出现的质量通病、质量控制重点和保证措施）</w:t>
      </w:r>
      <w:r>
        <w:rPr>
          <w:rStyle w:val="58"/>
          <w:rFonts w:ascii="宋体"/>
        </w:rPr>
        <w:t>；</w:t>
      </w:r>
    </w:p>
    <w:p>
      <w:pPr>
        <w:pStyle w:val="67"/>
        <w:numPr>
          <w:ilvl w:val="0"/>
          <w:numId w:val="18"/>
        </w:numPr>
        <w:spacing w:line="420" w:lineRule="exact"/>
        <w:ind w:left="0" w:firstLine="420" w:firstLineChars="0"/>
        <w:rPr>
          <w:rStyle w:val="58"/>
          <w:rFonts w:ascii="宋体"/>
        </w:rPr>
      </w:pPr>
      <w:r>
        <w:rPr>
          <w:rFonts w:hint="eastAsia" w:ascii="宋体" w:cs="宋体"/>
          <w:kern w:val="0"/>
          <w:szCs w:val="21"/>
        </w:rPr>
        <w:t>安全文明施工措施（要求对安全生产、文明施工、环境保护及防尘、施工措施，制定保证措施和承诺）</w:t>
      </w:r>
      <w:r>
        <w:rPr>
          <w:rStyle w:val="58"/>
          <w:rFonts w:ascii="宋体"/>
        </w:rPr>
        <w:t>；</w:t>
      </w:r>
    </w:p>
    <w:p>
      <w:pPr>
        <w:pStyle w:val="67"/>
        <w:numPr>
          <w:ilvl w:val="0"/>
          <w:numId w:val="18"/>
        </w:numPr>
        <w:spacing w:line="420" w:lineRule="exact"/>
        <w:ind w:left="0" w:firstLine="420" w:firstLineChars="0"/>
        <w:rPr>
          <w:rStyle w:val="58"/>
          <w:rFonts w:ascii="宋体" w:hAnsi="宋体"/>
          <w:szCs w:val="21"/>
        </w:rPr>
      </w:pPr>
      <w:r>
        <w:rPr>
          <w:rStyle w:val="58"/>
          <w:rFonts w:ascii="宋体"/>
        </w:rPr>
        <w:t>招标文件规定的其他内容。</w:t>
      </w:r>
    </w:p>
    <w:p>
      <w:pPr>
        <w:spacing w:before="120" w:after="240" w:line="420" w:lineRule="exact"/>
        <w:jc w:val="center"/>
        <w:rPr>
          <w:rStyle w:val="58"/>
          <w:rFonts w:ascii="宋体" w:hAnsi="宋体"/>
          <w:szCs w:val="21"/>
        </w:rPr>
      </w:pPr>
    </w:p>
    <w:p>
      <w:pPr>
        <w:pStyle w:val="19"/>
        <w:rPr>
          <w:sz w:val="30"/>
          <w:szCs w:val="30"/>
        </w:rPr>
      </w:pPr>
      <w:bookmarkStart w:id="220" w:name="_Toc14192"/>
      <w:bookmarkStart w:id="221" w:name="_Toc4161"/>
      <w:bookmarkStart w:id="222" w:name="_Toc1291"/>
      <w:bookmarkStart w:id="223" w:name="_Toc1054"/>
      <w:r>
        <w:rPr>
          <w:sz w:val="30"/>
          <w:szCs w:val="30"/>
        </w:rPr>
        <w:br w:type="page"/>
      </w:r>
    </w:p>
    <w:bookmarkEnd w:id="220"/>
    <w:bookmarkEnd w:id="221"/>
    <w:bookmarkEnd w:id="222"/>
    <w:bookmarkEnd w:id="223"/>
    <w:p>
      <w:pPr>
        <w:pStyle w:val="7"/>
        <w:numPr>
          <w:ilvl w:val="0"/>
          <w:numId w:val="17"/>
        </w:numPr>
        <w:spacing w:before="0" w:after="0" w:line="480" w:lineRule="auto"/>
        <w:jc w:val="center"/>
        <w:rPr>
          <w:sz w:val="30"/>
          <w:szCs w:val="30"/>
        </w:rPr>
      </w:pPr>
      <w:bookmarkStart w:id="224" w:name="_Toc12238"/>
      <w:bookmarkStart w:id="225" w:name="_Toc17817354"/>
      <w:bookmarkStart w:id="226" w:name="_Toc24097"/>
      <w:bookmarkStart w:id="227" w:name="_Toc211261936"/>
      <w:r>
        <w:rPr>
          <w:rFonts w:hint="eastAsia"/>
          <w:sz w:val="30"/>
          <w:szCs w:val="30"/>
        </w:rPr>
        <w:t>项目管理机构</w:t>
      </w:r>
      <w:bookmarkEnd w:id="224"/>
      <w:bookmarkEnd w:id="225"/>
      <w:bookmarkEnd w:id="226"/>
      <w:bookmarkEnd w:id="227"/>
    </w:p>
    <w:p>
      <w:pPr>
        <w:snapToGrid w:val="0"/>
        <w:spacing w:line="440" w:lineRule="exact"/>
        <w:jc w:val="center"/>
        <w:rPr>
          <w:rStyle w:val="58"/>
          <w:rFonts w:ascii="宋体" w:hAnsi="宋体"/>
          <w:b/>
          <w:szCs w:val="21"/>
        </w:rPr>
      </w:pPr>
      <w:bookmarkStart w:id="228" w:name="_Toc16064004"/>
      <w:r>
        <w:rPr>
          <w:rStyle w:val="58"/>
          <w:rFonts w:ascii="宋体" w:hAnsi="宋体"/>
          <w:b/>
          <w:szCs w:val="21"/>
        </w:rPr>
        <w:t>（一）项目管理机构组成表</w:t>
      </w:r>
      <w:bookmarkEnd w:id="228"/>
    </w:p>
    <w:p>
      <w:pPr>
        <w:snapToGrid w:val="0"/>
        <w:spacing w:line="440" w:lineRule="exact"/>
        <w:ind w:firstLine="527" w:firstLineChars="250"/>
        <w:jc w:val="center"/>
        <w:rPr>
          <w:rStyle w:val="58"/>
          <w:rFonts w:ascii="宋体" w:hAnsi="宋体"/>
          <w:b/>
          <w:szCs w:val="21"/>
        </w:rPr>
      </w:pPr>
    </w:p>
    <w:tbl>
      <w:tblPr>
        <w:tblStyle w:val="37"/>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9"/>
        <w:gridCol w:w="709"/>
        <w:gridCol w:w="709"/>
        <w:gridCol w:w="1134"/>
        <w:gridCol w:w="771"/>
        <w:gridCol w:w="788"/>
        <w:gridCol w:w="850"/>
        <w:gridCol w:w="2127"/>
        <w:gridCol w:w="70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职务</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姓名</w:t>
            </w:r>
          </w:p>
        </w:tc>
        <w:tc>
          <w:tcPr>
            <w:tcW w:w="709"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职称</w:t>
            </w:r>
          </w:p>
        </w:tc>
        <w:tc>
          <w:tcPr>
            <w:tcW w:w="5670" w:type="dxa"/>
            <w:gridSpan w:val="5"/>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执业或职业资格证明</w:t>
            </w:r>
          </w:p>
        </w:tc>
        <w:tc>
          <w:tcPr>
            <w:tcW w:w="708"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备注</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454" w:hRule="atLeast"/>
          <w:jc w:val="center"/>
        </w:trPr>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证书名称</w:t>
            </w: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级别</w:t>
            </w: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证号</w:t>
            </w: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专业</w:t>
            </w: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养老保险</w:t>
            </w:r>
          </w:p>
        </w:tc>
        <w:tc>
          <w:tcPr>
            <w:tcW w:w="708"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7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8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50"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8"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bl>
    <w:p>
      <w:pPr>
        <w:spacing w:before="120" w:after="240" w:line="420" w:lineRule="exact"/>
        <w:jc w:val="center"/>
        <w:rPr>
          <w:rStyle w:val="58"/>
          <w:rFonts w:ascii="宋体" w:hAnsi="宋体"/>
          <w:b/>
        </w:rPr>
      </w:pPr>
    </w:p>
    <w:p>
      <w:pPr>
        <w:spacing w:before="120" w:after="240" w:line="420" w:lineRule="exact"/>
        <w:jc w:val="center"/>
        <w:rPr>
          <w:rStyle w:val="58"/>
          <w:rFonts w:ascii="宋体" w:hAnsi="宋体"/>
          <w:b/>
        </w:rPr>
      </w:pPr>
    </w:p>
    <w:p>
      <w:pPr>
        <w:spacing w:before="120" w:after="240" w:line="420" w:lineRule="exact"/>
        <w:jc w:val="center"/>
        <w:rPr>
          <w:rStyle w:val="58"/>
          <w:rFonts w:ascii="宋体" w:hAnsi="宋体"/>
          <w:b/>
        </w:rPr>
      </w:pPr>
      <w:r>
        <w:rPr>
          <w:rStyle w:val="58"/>
          <w:rFonts w:ascii="宋体" w:hAnsi="宋体"/>
          <w:b/>
        </w:rPr>
        <w:br w:type="page"/>
      </w:r>
    </w:p>
    <w:p>
      <w:pPr>
        <w:snapToGrid w:val="0"/>
        <w:spacing w:line="440" w:lineRule="exact"/>
        <w:jc w:val="center"/>
        <w:rPr>
          <w:rStyle w:val="58"/>
          <w:rFonts w:ascii="宋体" w:hAnsi="宋体"/>
          <w:b/>
          <w:szCs w:val="21"/>
        </w:rPr>
      </w:pPr>
      <w:r>
        <w:rPr>
          <w:rStyle w:val="58"/>
          <w:rFonts w:ascii="宋体" w:hAnsi="宋体"/>
          <w:b/>
          <w:szCs w:val="21"/>
        </w:rPr>
        <w:t>（二）主要人员简历表</w:t>
      </w:r>
    </w:p>
    <w:p>
      <w:pPr>
        <w:snapToGrid w:val="0"/>
        <w:spacing w:line="440" w:lineRule="exact"/>
        <w:ind w:firstLine="527" w:firstLineChars="250"/>
        <w:jc w:val="center"/>
        <w:rPr>
          <w:rStyle w:val="58"/>
          <w:rFonts w:ascii="宋体" w:hAnsi="宋体"/>
          <w:b/>
          <w:szCs w:val="21"/>
        </w:rPr>
      </w:pPr>
    </w:p>
    <w:p>
      <w:pPr>
        <w:spacing w:line="420" w:lineRule="exact"/>
        <w:rPr>
          <w:rStyle w:val="58"/>
          <w:rFonts w:ascii="宋体" w:hAnsi="宋体"/>
          <w:szCs w:val="21"/>
        </w:rPr>
      </w:pPr>
      <w:r>
        <w:rPr>
          <w:rStyle w:val="58"/>
          <w:rFonts w:ascii="宋体" w:hAnsi="宋体"/>
          <w:szCs w:val="21"/>
        </w:rPr>
        <w:t>附1：项目经理简历表</w:t>
      </w:r>
    </w:p>
    <w:p>
      <w:pPr>
        <w:spacing w:line="420" w:lineRule="exact"/>
        <w:ind w:firstLine="359" w:firstLineChars="171"/>
        <w:rPr>
          <w:rStyle w:val="58"/>
          <w:rFonts w:ascii="宋体" w:hAnsi="宋体"/>
          <w:szCs w:val="21"/>
        </w:rPr>
      </w:pPr>
      <w:r>
        <w:rPr>
          <w:rStyle w:val="58"/>
          <w:rFonts w:ascii="宋体" w:hAnsi="宋体"/>
          <w:szCs w:val="21"/>
        </w:rPr>
        <w:t>项目经理应附建造师执业资格证书、注册证书、安全生产考核合格证书、身份证、职称证、学历证、养老保险复印件及未担任其他在施建设工程项目项目经理的承诺书，管理过的项目业绩须附合同协议书和竣工验收备案登记表复印件。类似工程限于以项目经理身份参与的项目。</w:t>
      </w:r>
    </w:p>
    <w:tbl>
      <w:tblPr>
        <w:tblStyle w:val="37"/>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092"/>
        <w:gridCol w:w="1035"/>
        <w:gridCol w:w="1134"/>
        <w:gridCol w:w="1275"/>
        <w:gridCol w:w="1843"/>
        <w:gridCol w:w="212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姓  名</w:t>
            </w:r>
          </w:p>
        </w:tc>
        <w:tc>
          <w:tcPr>
            <w:tcW w:w="103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年  龄</w:t>
            </w:r>
          </w:p>
        </w:tc>
        <w:tc>
          <w:tcPr>
            <w:tcW w:w="127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学历</w:t>
            </w: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职  称</w:t>
            </w:r>
          </w:p>
        </w:tc>
        <w:tc>
          <w:tcPr>
            <w:tcW w:w="103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134"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职  务</w:t>
            </w:r>
          </w:p>
        </w:tc>
        <w:tc>
          <w:tcPr>
            <w:tcW w:w="127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拟在本工程任职</w:t>
            </w: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项目经理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hint="eastAsia" w:ascii="宋体" w:hAnsi="宋体"/>
                <w:szCs w:val="21"/>
              </w:rPr>
              <w:t>身份证号</w:t>
            </w:r>
          </w:p>
        </w:tc>
        <w:tc>
          <w:tcPr>
            <w:tcW w:w="2169"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118"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注册建造师执业资格</w:t>
            </w:r>
            <w:r>
              <w:rPr>
                <w:rStyle w:val="58"/>
                <w:rFonts w:hint="eastAsia" w:ascii="宋体" w:hAnsi="宋体"/>
                <w:szCs w:val="21"/>
              </w:rPr>
              <w:t>证书号</w:t>
            </w: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注册建造师执业资格等级</w:t>
            </w:r>
          </w:p>
        </w:tc>
        <w:tc>
          <w:tcPr>
            <w:tcW w:w="127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级</w:t>
            </w: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建造师专业</w:t>
            </w: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3261"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安全生产考核合格证书</w:t>
            </w:r>
          </w:p>
        </w:tc>
        <w:tc>
          <w:tcPr>
            <w:tcW w:w="52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毕业学校</w:t>
            </w:r>
          </w:p>
        </w:tc>
        <w:tc>
          <w:tcPr>
            <w:tcW w:w="7413" w:type="dxa"/>
            <w:gridSpan w:val="5"/>
            <w:tcBorders>
              <w:top w:val="single" w:color="000000" w:sz="4" w:space="0"/>
              <w:left w:val="single" w:color="000000" w:sz="4" w:space="0"/>
              <w:bottom w:val="single" w:color="000000" w:sz="4" w:space="0"/>
              <w:right w:val="single" w:color="000000" w:sz="4" w:space="0"/>
            </w:tcBorders>
            <w:vAlign w:val="center"/>
          </w:tcPr>
          <w:p>
            <w:pPr>
              <w:ind w:firstLine="840" w:firstLineChars="400"/>
              <w:rPr>
                <w:rStyle w:val="58"/>
                <w:rFonts w:ascii="宋体" w:hAnsi="宋体"/>
                <w:szCs w:val="21"/>
              </w:rPr>
            </w:pPr>
            <w:r>
              <w:rPr>
                <w:rStyle w:val="58"/>
                <w:rFonts w:ascii="宋体" w:hAnsi="宋体"/>
                <w:szCs w:val="21"/>
              </w:rPr>
              <w:t>年毕业于                  学校            专业</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8505" w:type="dxa"/>
            <w:gridSpan w:val="6"/>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主要工作经历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时  间</w:t>
            </w: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参加过的类似工程名称</w:t>
            </w: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工程概况说明</w:t>
            </w: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发包人及联系电话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jc w:val="center"/>
        </w:trPr>
        <w:tc>
          <w:tcPr>
            <w:tcW w:w="1092"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3444"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843"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212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bl>
    <w:p>
      <w:pPr>
        <w:spacing w:line="420" w:lineRule="exact"/>
        <w:ind w:firstLine="422" w:firstLineChars="200"/>
        <w:rPr>
          <w:rStyle w:val="58"/>
          <w:rFonts w:ascii="宋体" w:hAnsi="宋体"/>
          <w:szCs w:val="21"/>
        </w:rPr>
      </w:pPr>
      <w:r>
        <w:rPr>
          <w:rStyle w:val="58"/>
          <w:rFonts w:ascii="宋体" w:hAnsi="宋体"/>
          <w:b/>
          <w:szCs w:val="21"/>
        </w:rPr>
        <w:t>注：评分细则加分的项目经理业绩须同时附在本表中。</w:t>
      </w:r>
      <w:r>
        <w:rPr>
          <w:rStyle w:val="58"/>
          <w:rFonts w:ascii="宋体" w:hAnsi="宋体"/>
          <w:b/>
          <w:szCs w:val="21"/>
        </w:rPr>
        <w:br w:type="page"/>
      </w:r>
    </w:p>
    <w:p>
      <w:pPr>
        <w:rPr>
          <w:rStyle w:val="58"/>
          <w:rFonts w:ascii="宋体" w:hAnsi="宋体"/>
          <w:szCs w:val="21"/>
        </w:rPr>
      </w:pPr>
      <w:r>
        <w:rPr>
          <w:rStyle w:val="58"/>
          <w:rFonts w:ascii="宋体" w:hAnsi="宋体"/>
          <w:szCs w:val="21"/>
        </w:rPr>
        <w:t>附2：承诺书</w:t>
      </w:r>
    </w:p>
    <w:p>
      <w:pPr>
        <w:spacing w:line="440" w:lineRule="exact"/>
        <w:jc w:val="center"/>
        <w:rPr>
          <w:rStyle w:val="58"/>
          <w:rFonts w:ascii="宋体" w:hAnsi="宋体"/>
          <w:szCs w:val="21"/>
        </w:rPr>
      </w:pPr>
    </w:p>
    <w:p>
      <w:pPr>
        <w:spacing w:line="440" w:lineRule="exact"/>
        <w:jc w:val="right"/>
        <w:rPr>
          <w:rStyle w:val="58"/>
          <w:rFonts w:ascii="宋体"/>
        </w:rPr>
      </w:pPr>
    </w:p>
    <w:p>
      <w:pPr>
        <w:jc w:val="center"/>
        <w:rPr>
          <w:rStyle w:val="58"/>
          <w:rFonts w:ascii="宋体"/>
          <w:sz w:val="28"/>
          <w:szCs w:val="28"/>
        </w:rPr>
      </w:pPr>
      <w:r>
        <w:rPr>
          <w:rStyle w:val="58"/>
          <w:rFonts w:hint="eastAsia" w:ascii="宋体"/>
          <w:sz w:val="28"/>
          <w:szCs w:val="28"/>
        </w:rPr>
        <w:t>承诺书</w:t>
      </w:r>
    </w:p>
    <w:p>
      <w:pPr>
        <w:spacing w:after="240" w:line="440" w:lineRule="exact"/>
        <w:rPr>
          <w:rStyle w:val="58"/>
          <w:rFonts w:ascii="宋体"/>
        </w:rPr>
      </w:pPr>
      <w:r>
        <w:rPr>
          <w:rStyle w:val="58"/>
          <w:rFonts w:ascii="宋体"/>
          <w:position w:val="-7"/>
        </w:rPr>
        <w:t>————————</w:t>
      </w:r>
      <w:r>
        <w:rPr>
          <w:rStyle w:val="58"/>
          <w:rFonts w:ascii="宋体"/>
        </w:rPr>
        <w:t>（招标人名称）：</w:t>
      </w:r>
    </w:p>
    <w:p>
      <w:pPr>
        <w:spacing w:line="440" w:lineRule="exact"/>
        <w:ind w:firstLine="420" w:firstLineChars="200"/>
        <w:rPr>
          <w:rStyle w:val="58"/>
          <w:rFonts w:ascii="宋体"/>
        </w:rPr>
      </w:pPr>
      <w:r>
        <w:rPr>
          <w:rStyle w:val="58"/>
          <w:rFonts w:hint="eastAsia" w:ascii="宋体"/>
        </w:rPr>
        <w:t>针对</w:t>
      </w:r>
      <w:r>
        <w:rPr>
          <w:rStyle w:val="58"/>
          <w:rFonts w:hint="eastAsia" w:ascii="宋体"/>
          <w:u w:val="single"/>
        </w:rPr>
        <w:t xml:space="preserve">           </w:t>
      </w:r>
      <w:r>
        <w:rPr>
          <w:rStyle w:val="58"/>
          <w:rFonts w:hint="eastAsia" w:ascii="宋体"/>
        </w:rPr>
        <w:t>项目，我方承诺：</w:t>
      </w:r>
    </w:p>
    <w:p>
      <w:pPr>
        <w:spacing w:line="440" w:lineRule="exact"/>
        <w:ind w:firstLine="420" w:firstLineChars="200"/>
        <w:rPr>
          <w:rStyle w:val="58"/>
          <w:rFonts w:ascii="宋体"/>
        </w:rPr>
      </w:pPr>
      <w:r>
        <w:rPr>
          <w:rStyle w:val="58"/>
          <w:rFonts w:hint="eastAsia" w:ascii="宋体"/>
        </w:rPr>
        <w:t>一、</w:t>
      </w:r>
      <w:r>
        <w:rPr>
          <w:rStyle w:val="58"/>
          <w:rFonts w:ascii="宋体"/>
        </w:rPr>
        <w:t>我方拟派往</w:t>
      </w:r>
      <w:r>
        <w:rPr>
          <w:rStyle w:val="58"/>
          <w:rFonts w:ascii="宋体"/>
          <w:u w:val="single"/>
        </w:rPr>
        <w:t>（项目名称）</w:t>
      </w:r>
      <w:r>
        <w:rPr>
          <w:rStyle w:val="58"/>
          <w:rFonts w:ascii="宋体"/>
        </w:rPr>
        <w:t>（以下简称“本工程”）的项目经理</w:t>
      </w:r>
      <w:r>
        <w:rPr>
          <w:rStyle w:val="58"/>
          <w:rFonts w:ascii="宋体"/>
          <w:u w:val="single"/>
        </w:rPr>
        <w:t>（项目经理姓名）</w:t>
      </w:r>
      <w:r>
        <w:rPr>
          <w:rStyle w:val="58"/>
          <w:rFonts w:ascii="宋体"/>
        </w:rPr>
        <w:t>现阶段没有担任任何在施建设工程项目的项目经理。</w:t>
      </w:r>
    </w:p>
    <w:p>
      <w:pPr>
        <w:spacing w:line="440" w:lineRule="exact"/>
        <w:ind w:firstLine="420" w:firstLineChars="200"/>
        <w:rPr>
          <w:rStyle w:val="58"/>
          <w:rFonts w:ascii="宋体"/>
        </w:rPr>
      </w:pPr>
      <w:r>
        <w:rPr>
          <w:rStyle w:val="58"/>
          <w:rFonts w:hint="eastAsia" w:ascii="宋体"/>
        </w:rPr>
        <w:t>二、中标后现场管理班子均为我单位正式职工，已连续缴纳社保半年以上，确保到岗不少于</w:t>
      </w:r>
      <w:r>
        <w:rPr>
          <w:rStyle w:val="58"/>
          <w:rFonts w:hint="eastAsia" w:ascii="宋体"/>
          <w:u w:val="single"/>
        </w:rPr>
        <w:t xml:space="preserve">    </w:t>
      </w:r>
      <w:r>
        <w:rPr>
          <w:rStyle w:val="58"/>
          <w:rFonts w:hint="eastAsia" w:ascii="宋体"/>
        </w:rPr>
        <w:t>人，每少一人承担</w:t>
      </w:r>
      <w:r>
        <w:rPr>
          <w:rStyle w:val="58"/>
          <w:rFonts w:hint="eastAsia" w:ascii="宋体"/>
          <w:u w:val="single"/>
        </w:rPr>
        <w:t xml:space="preserve"> 1 </w:t>
      </w:r>
      <w:r>
        <w:rPr>
          <w:rStyle w:val="58"/>
          <w:rFonts w:hint="eastAsia" w:ascii="宋体"/>
        </w:rPr>
        <w:t>万元的赔偿且在施工期间未经发包人允许绝不擅自更换；</w:t>
      </w:r>
    </w:p>
    <w:p>
      <w:pPr>
        <w:spacing w:line="440" w:lineRule="exact"/>
        <w:ind w:firstLine="420" w:firstLineChars="200"/>
        <w:rPr>
          <w:rStyle w:val="58"/>
          <w:rFonts w:ascii="宋体"/>
        </w:rPr>
      </w:pPr>
      <w:r>
        <w:rPr>
          <w:rStyle w:val="58"/>
          <w:rFonts w:hint="eastAsia" w:ascii="宋体"/>
        </w:rPr>
        <w:t>三、项目经理现场履职每月不少于25天，每少一天自愿接受考核</w:t>
      </w:r>
      <w:r>
        <w:rPr>
          <w:rStyle w:val="58"/>
          <w:rFonts w:hint="eastAsia" w:ascii="宋体"/>
          <w:u w:val="single"/>
        </w:rPr>
        <w:t>1000</w:t>
      </w:r>
      <w:r>
        <w:rPr>
          <w:rStyle w:val="58"/>
          <w:rFonts w:hint="eastAsia" w:ascii="宋体"/>
        </w:rPr>
        <w:t>元/天。</w:t>
      </w:r>
    </w:p>
    <w:p>
      <w:pPr>
        <w:spacing w:line="440" w:lineRule="exact"/>
        <w:ind w:firstLine="420" w:firstLineChars="200"/>
        <w:rPr>
          <w:rStyle w:val="58"/>
          <w:rFonts w:ascii="宋体"/>
        </w:rPr>
      </w:pPr>
      <w:r>
        <w:rPr>
          <w:rStyle w:val="58"/>
          <w:rFonts w:hint="eastAsia" w:ascii="宋体"/>
        </w:rPr>
        <w:t>四、若我方违背上述承诺，视为工程转包、挂靠行为，除承担合同约定的违约责任外，</w:t>
      </w:r>
      <w:r>
        <w:rPr>
          <w:rStyle w:val="58"/>
          <w:rFonts w:ascii="宋体"/>
        </w:rPr>
        <w:t>并愿意承担因我方就此弄虚作假所引起的一切法律后果。</w:t>
      </w:r>
    </w:p>
    <w:p>
      <w:pPr>
        <w:spacing w:line="440" w:lineRule="exact"/>
        <w:ind w:firstLine="200"/>
        <w:rPr>
          <w:rStyle w:val="58"/>
          <w:rFonts w:ascii="宋体"/>
        </w:rPr>
      </w:pPr>
    </w:p>
    <w:p>
      <w:pPr>
        <w:rPr>
          <w:rStyle w:val="58"/>
          <w:rFonts w:ascii="宋体"/>
        </w:rPr>
      </w:pPr>
    </w:p>
    <w:p>
      <w:pPr>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1800"/>
        <w:rPr>
          <w:rStyle w:val="58"/>
          <w:rFonts w:ascii="宋体"/>
        </w:rPr>
      </w:pPr>
    </w:p>
    <w:p>
      <w:pPr>
        <w:ind w:firstLine="3780" w:firstLineChars="1800"/>
        <w:rPr>
          <w:rStyle w:val="58"/>
          <w:rFonts w:ascii="宋体"/>
        </w:rPr>
      </w:pPr>
      <w:r>
        <w:rPr>
          <w:rStyle w:val="58"/>
          <w:rFonts w:hint="eastAsia" w:ascii="宋体"/>
        </w:rPr>
        <w:t>公司法律人员或法务部门签字盖章</w:t>
      </w:r>
    </w:p>
    <w:p>
      <w:pPr>
        <w:rPr>
          <w:rStyle w:val="58"/>
          <w:rFonts w:ascii="宋体"/>
        </w:rPr>
      </w:pPr>
    </w:p>
    <w:p>
      <w:pPr>
        <w:ind w:firstLine="3780" w:firstLineChars="1800"/>
        <w:rPr>
          <w:rStyle w:val="58"/>
          <w:rFonts w:ascii="宋体"/>
        </w:rPr>
      </w:pPr>
      <w:r>
        <w:rPr>
          <w:rStyle w:val="58"/>
          <w:rFonts w:hint="eastAsia" w:ascii="宋体"/>
        </w:rPr>
        <w:t xml:space="preserve">投标单位：     （公章）             </w:t>
      </w:r>
    </w:p>
    <w:p>
      <w:pPr>
        <w:rPr>
          <w:rStyle w:val="58"/>
          <w:rFonts w:ascii="宋体"/>
        </w:rPr>
      </w:pPr>
      <w:r>
        <w:rPr>
          <w:rStyle w:val="58"/>
          <w:rFonts w:hint="eastAsia" w:ascii="宋体"/>
        </w:rPr>
        <w:t xml:space="preserve">                                  </w:t>
      </w:r>
    </w:p>
    <w:p>
      <w:pPr>
        <w:ind w:firstLine="3780" w:firstLineChars="1800"/>
        <w:rPr>
          <w:rStyle w:val="58"/>
          <w:rFonts w:ascii="宋体"/>
        </w:rPr>
      </w:pPr>
      <w:r>
        <w:rPr>
          <w:rStyle w:val="58"/>
          <w:rFonts w:hint="eastAsia" w:ascii="宋体"/>
        </w:rPr>
        <w:t>法人签字：</w:t>
      </w:r>
    </w:p>
    <w:p>
      <w:pPr>
        <w:pStyle w:val="2"/>
        <w:ind w:left="420" w:firstLine="420"/>
      </w:pPr>
    </w:p>
    <w:p>
      <w:pPr>
        <w:ind w:firstLine="1680" w:firstLineChars="800"/>
        <w:rPr>
          <w:rStyle w:val="58"/>
          <w:rFonts w:ascii="宋体"/>
        </w:rPr>
      </w:pPr>
      <w:r>
        <w:rPr>
          <w:rStyle w:val="58"/>
          <w:rFonts w:hint="eastAsia" w:ascii="宋体"/>
        </w:rPr>
        <w:t xml:space="preserve">                    日期：</w:t>
      </w:r>
    </w:p>
    <w:p>
      <w:pPr>
        <w:pStyle w:val="2"/>
        <w:ind w:left="420" w:firstLine="422"/>
      </w:pPr>
      <w:bookmarkStart w:id="229" w:name="_Toc6584"/>
      <w:r>
        <w:rPr>
          <w:b/>
          <w:bCs/>
        </w:rPr>
        <w:br w:type="page"/>
      </w:r>
    </w:p>
    <w:p>
      <w:pPr>
        <w:pStyle w:val="7"/>
        <w:numPr>
          <w:ilvl w:val="0"/>
          <w:numId w:val="17"/>
        </w:numPr>
        <w:spacing w:before="0" w:after="0" w:line="480" w:lineRule="auto"/>
        <w:jc w:val="center"/>
        <w:rPr>
          <w:sz w:val="30"/>
          <w:szCs w:val="30"/>
        </w:rPr>
      </w:pPr>
      <w:bookmarkStart w:id="230" w:name="_Toc13419"/>
      <w:bookmarkStart w:id="231" w:name="_Toc211261937"/>
      <w:r>
        <w:rPr>
          <w:sz w:val="30"/>
          <w:szCs w:val="30"/>
        </w:rPr>
        <w:t>其他材料</w:t>
      </w:r>
      <w:bookmarkEnd w:id="229"/>
      <w:bookmarkEnd w:id="230"/>
      <w:bookmarkEnd w:id="231"/>
    </w:p>
    <w:p>
      <w:pPr>
        <w:spacing w:line="500" w:lineRule="exact"/>
        <w:jc w:val="center"/>
        <w:rPr>
          <w:rStyle w:val="58"/>
          <w:rFonts w:ascii="宋体" w:hAnsi="宋体"/>
          <w:b/>
          <w:szCs w:val="21"/>
        </w:rPr>
      </w:pPr>
      <w:r>
        <w:rPr>
          <w:rStyle w:val="58"/>
          <w:rFonts w:ascii="宋体" w:hAnsi="宋体"/>
          <w:b/>
          <w:szCs w:val="21"/>
        </w:rPr>
        <w:t>（格式自行设定）</w:t>
      </w:r>
    </w:p>
    <w:p>
      <w:pPr>
        <w:rPr>
          <w:rStyle w:val="58"/>
          <w:rFonts w:ascii="宋体" w:hAnsi="宋体"/>
        </w:rPr>
      </w:pPr>
    </w:p>
    <w:p>
      <w:pPr>
        <w:rPr>
          <w:rStyle w:val="58"/>
          <w:rFonts w:ascii="宋体" w:hAnsi="宋体"/>
        </w:rPr>
      </w:pPr>
    </w:p>
    <w:p>
      <w:pPr>
        <w:spacing w:line="360" w:lineRule="auto"/>
        <w:rPr>
          <w:rStyle w:val="58"/>
          <w:rFonts w:ascii="宋体" w:hAnsi="宋体"/>
        </w:rPr>
      </w:pPr>
      <w:r>
        <w:rPr>
          <w:rStyle w:val="58"/>
          <w:rFonts w:ascii="宋体" w:hAnsi="宋体"/>
        </w:rPr>
        <w:t>备注：对于招标文件要求的内容，招标文件有固定格式的执行固定格式，没有格式的自行设计格式。</w:t>
      </w:r>
    </w:p>
    <w:p>
      <w:pPr>
        <w:rPr>
          <w:rStyle w:val="58"/>
          <w:rFonts w:ascii="宋体" w:hAnsi="宋体"/>
        </w:rPr>
      </w:pPr>
      <w:r>
        <w:rPr>
          <w:rStyle w:val="58"/>
          <w:rFonts w:ascii="宋体" w:hAnsi="宋体"/>
        </w:rPr>
        <w:br w:type="page"/>
      </w:r>
    </w:p>
    <w:p>
      <w:pPr>
        <w:pStyle w:val="6"/>
        <w:jc w:val="center"/>
        <w:rPr>
          <w:i w:val="0"/>
          <w:iCs w:val="0"/>
          <w:sz w:val="32"/>
          <w:szCs w:val="32"/>
        </w:rPr>
      </w:pPr>
      <w:bookmarkStart w:id="232" w:name="_Toc6830"/>
      <w:bookmarkStart w:id="233" w:name="_Toc22263"/>
      <w:bookmarkStart w:id="234" w:name="_Toc211261938"/>
      <w:bookmarkStart w:id="235" w:name="_Toc17817356"/>
      <w:r>
        <w:rPr>
          <w:i w:val="0"/>
          <w:iCs w:val="0"/>
          <w:sz w:val="32"/>
          <w:szCs w:val="32"/>
        </w:rPr>
        <w:t>第九章  资格审查文件</w:t>
      </w:r>
      <w:bookmarkEnd w:id="232"/>
      <w:bookmarkEnd w:id="233"/>
      <w:bookmarkEnd w:id="234"/>
      <w:bookmarkEnd w:id="235"/>
    </w:p>
    <w:p/>
    <w:p/>
    <w:p>
      <w:pPr>
        <w:jc w:val="center"/>
        <w:rPr>
          <w:rStyle w:val="58"/>
          <w:rFonts w:ascii="宋体" w:hAnsi="宋体"/>
          <w:sz w:val="28"/>
          <w:szCs w:val="28"/>
        </w:rPr>
      </w:pPr>
      <w:r>
        <w:rPr>
          <w:rStyle w:val="58"/>
          <w:rFonts w:ascii="宋体" w:hAnsi="宋体"/>
          <w:sz w:val="28"/>
          <w:szCs w:val="28"/>
        </w:rPr>
        <w:t>（项目名称）</w:t>
      </w:r>
    </w:p>
    <w:p>
      <w:pPr>
        <w:spacing w:before="240"/>
        <w:jc w:val="center"/>
        <w:rPr>
          <w:rStyle w:val="58"/>
          <w:rFonts w:ascii="宋体" w:hAnsi="宋体"/>
          <w:sz w:val="44"/>
          <w:szCs w:val="44"/>
        </w:rPr>
      </w:pPr>
    </w:p>
    <w:p>
      <w:pPr>
        <w:spacing w:before="240"/>
        <w:jc w:val="center"/>
        <w:rPr>
          <w:rStyle w:val="58"/>
          <w:rFonts w:ascii="宋体" w:hAnsi="宋体"/>
          <w:sz w:val="44"/>
          <w:szCs w:val="44"/>
        </w:rPr>
      </w:pPr>
    </w:p>
    <w:p>
      <w:pPr>
        <w:spacing w:before="240"/>
        <w:jc w:val="center"/>
        <w:rPr>
          <w:rStyle w:val="58"/>
          <w:rFonts w:ascii="宋体" w:hAnsi="宋体"/>
          <w:sz w:val="44"/>
          <w:szCs w:val="44"/>
        </w:rPr>
      </w:pPr>
      <w:r>
        <w:rPr>
          <w:rStyle w:val="58"/>
          <w:rFonts w:ascii="宋体" w:hAnsi="宋体"/>
          <w:sz w:val="44"/>
          <w:szCs w:val="44"/>
        </w:rPr>
        <w:t>资格审查文件</w:t>
      </w: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jc w:val="center"/>
        <w:rPr>
          <w:rStyle w:val="58"/>
          <w:rFonts w:ascii="宋体" w:hAnsi="宋体"/>
          <w:sz w:val="32"/>
          <w:szCs w:val="32"/>
        </w:rPr>
      </w:pPr>
    </w:p>
    <w:p>
      <w:pPr>
        <w:spacing w:line="360" w:lineRule="auto"/>
        <w:rPr>
          <w:rStyle w:val="58"/>
          <w:rFonts w:ascii="宋体" w:hAnsi="宋体"/>
          <w:sz w:val="28"/>
          <w:szCs w:val="28"/>
        </w:rPr>
      </w:pPr>
      <w:r>
        <w:rPr>
          <w:rStyle w:val="58"/>
          <w:rFonts w:ascii="宋体" w:hAnsi="宋体"/>
          <w:sz w:val="28"/>
          <w:szCs w:val="28"/>
        </w:rPr>
        <w:t xml:space="preserve">   投标人：（盖单位公章）</w:t>
      </w:r>
    </w:p>
    <w:p>
      <w:pPr>
        <w:spacing w:line="360" w:lineRule="auto"/>
        <w:ind w:firstLine="420" w:firstLineChars="150"/>
        <w:rPr>
          <w:rStyle w:val="58"/>
          <w:rFonts w:ascii="宋体" w:hAnsi="宋体"/>
          <w:sz w:val="28"/>
          <w:szCs w:val="28"/>
        </w:rPr>
      </w:pPr>
      <w:r>
        <w:rPr>
          <w:rStyle w:val="58"/>
          <w:rFonts w:ascii="宋体" w:hAnsi="宋体"/>
          <w:sz w:val="28"/>
          <w:szCs w:val="28"/>
        </w:rPr>
        <w:t>法定代表人：（签字或盖章）</w:t>
      </w:r>
    </w:p>
    <w:p>
      <w:pPr>
        <w:jc w:val="center"/>
        <w:rPr>
          <w:rStyle w:val="58"/>
          <w:rFonts w:ascii="宋体" w:hAnsi="宋体"/>
          <w:sz w:val="28"/>
          <w:szCs w:val="28"/>
        </w:rPr>
      </w:pPr>
    </w:p>
    <w:p>
      <w:pPr>
        <w:spacing w:before="120" w:after="240" w:line="440" w:lineRule="exact"/>
        <w:jc w:val="center"/>
        <w:rPr>
          <w:rStyle w:val="58"/>
          <w:rFonts w:ascii="宋体" w:hAnsi="宋体"/>
          <w:sz w:val="28"/>
          <w:szCs w:val="28"/>
        </w:rPr>
      </w:pPr>
      <w:r>
        <w:rPr>
          <w:rStyle w:val="58"/>
          <w:rFonts w:ascii="宋体" w:hAnsi="宋体"/>
          <w:sz w:val="28"/>
          <w:szCs w:val="28"/>
        </w:rPr>
        <w:t>年</w:t>
      </w:r>
      <w:r>
        <w:rPr>
          <w:rStyle w:val="58"/>
          <w:rFonts w:hint="eastAsia" w:ascii="宋体" w:hAnsi="宋体"/>
          <w:sz w:val="28"/>
          <w:szCs w:val="28"/>
        </w:rPr>
        <w:t xml:space="preserve"> </w:t>
      </w:r>
      <w:r>
        <w:rPr>
          <w:rStyle w:val="58"/>
          <w:rFonts w:ascii="宋体" w:hAnsi="宋体"/>
          <w:sz w:val="28"/>
          <w:szCs w:val="28"/>
        </w:rPr>
        <w:t>月</w:t>
      </w:r>
      <w:r>
        <w:rPr>
          <w:rStyle w:val="58"/>
          <w:rFonts w:hint="eastAsia" w:ascii="宋体" w:hAnsi="宋体"/>
          <w:sz w:val="28"/>
          <w:szCs w:val="28"/>
        </w:rPr>
        <w:t xml:space="preserve"> </w:t>
      </w:r>
      <w:r>
        <w:rPr>
          <w:rStyle w:val="58"/>
          <w:rFonts w:ascii="宋体" w:hAnsi="宋体"/>
          <w:sz w:val="28"/>
          <w:szCs w:val="28"/>
        </w:rPr>
        <w:t>日</w:t>
      </w:r>
      <w:r>
        <w:rPr>
          <w:rStyle w:val="58"/>
          <w:rFonts w:ascii="宋体" w:hAnsi="宋体"/>
          <w:sz w:val="28"/>
          <w:szCs w:val="28"/>
        </w:rPr>
        <w:br w:type="page"/>
      </w:r>
    </w:p>
    <w:p>
      <w:pPr>
        <w:pStyle w:val="67"/>
        <w:numPr>
          <w:ilvl w:val="0"/>
          <w:numId w:val="19"/>
        </w:numPr>
        <w:snapToGrid w:val="0"/>
        <w:spacing w:line="440" w:lineRule="exact"/>
        <w:ind w:firstLineChars="0"/>
        <w:jc w:val="center"/>
        <w:rPr>
          <w:rStyle w:val="58"/>
          <w:rFonts w:ascii="宋体" w:hAnsi="宋体"/>
          <w:b/>
          <w:szCs w:val="21"/>
        </w:rPr>
      </w:pPr>
      <w:bookmarkStart w:id="236" w:name="_Toc16064005"/>
      <w:r>
        <w:rPr>
          <w:rStyle w:val="58"/>
          <w:rFonts w:ascii="宋体" w:hAnsi="宋体"/>
          <w:b/>
          <w:szCs w:val="21"/>
        </w:rPr>
        <w:t>投标人基本情况表</w:t>
      </w:r>
      <w:bookmarkEnd w:id="236"/>
    </w:p>
    <w:p>
      <w:pPr>
        <w:pStyle w:val="67"/>
        <w:snapToGrid w:val="0"/>
        <w:spacing w:line="440" w:lineRule="exact"/>
        <w:ind w:left="1367" w:firstLine="0" w:firstLineChars="0"/>
        <w:rPr>
          <w:rStyle w:val="58"/>
          <w:rFonts w:ascii="宋体" w:hAnsi="宋体"/>
          <w:b/>
          <w:szCs w:val="21"/>
        </w:rPr>
      </w:pPr>
    </w:p>
    <w:tbl>
      <w:tblPr>
        <w:tblStyle w:val="37"/>
        <w:tblW w:w="8505"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485"/>
        <w:gridCol w:w="897"/>
        <w:gridCol w:w="1021"/>
        <w:gridCol w:w="993"/>
        <w:gridCol w:w="283"/>
        <w:gridCol w:w="195"/>
        <w:gridCol w:w="1246"/>
        <w:gridCol w:w="260"/>
        <w:gridCol w:w="709"/>
        <w:gridCol w:w="141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投标人名称</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注册地址</w:t>
            </w:r>
          </w:p>
        </w:tc>
        <w:tc>
          <w:tcPr>
            <w:tcW w:w="3389" w:type="dxa"/>
            <w:gridSpan w:val="5"/>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邮政编码</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联系方式</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联系人</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电  话</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传  真</w:t>
            </w:r>
          </w:p>
        </w:tc>
        <w:tc>
          <w:tcPr>
            <w:tcW w:w="2492"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24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网  址</w:t>
            </w:r>
          </w:p>
        </w:tc>
        <w:tc>
          <w:tcPr>
            <w:tcW w:w="2385"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组织结构</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法定代表人</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技术负责人</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姓名</w:t>
            </w: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276"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技术职称</w:t>
            </w:r>
          </w:p>
        </w:tc>
        <w:tc>
          <w:tcPr>
            <w:tcW w:w="1701" w:type="dxa"/>
            <w:gridSpan w:val="3"/>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709"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电话</w:t>
            </w:r>
          </w:p>
        </w:tc>
        <w:tc>
          <w:tcPr>
            <w:tcW w:w="1416"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成立时间</w:t>
            </w:r>
          </w:p>
        </w:tc>
        <w:tc>
          <w:tcPr>
            <w:tcW w:w="1918"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5102" w:type="dxa"/>
            <w:gridSpan w:val="7"/>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员工总人数：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企业资质等级</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993" w:type="dxa"/>
            <w:vMerge w:val="restart"/>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其中</w:t>
            </w: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项目经理</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营业执照号</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高级职称人员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注册资金</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中级职称人员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开户银行</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初级职称人员</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账号</w:t>
            </w:r>
          </w:p>
        </w:tc>
        <w:tc>
          <w:tcPr>
            <w:tcW w:w="897"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021"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993" w:type="dxa"/>
            <w:vMerge w:val="continue"/>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1984" w:type="dxa"/>
            <w:gridSpan w:val="4"/>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技  工</w:t>
            </w:r>
          </w:p>
        </w:tc>
        <w:tc>
          <w:tcPr>
            <w:tcW w:w="2125" w:type="dxa"/>
            <w:gridSpan w:val="2"/>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52"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经营范围</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67" w:hRule="atLeast"/>
          <w:jc w:val="center"/>
        </w:trPr>
        <w:tc>
          <w:tcPr>
            <w:tcW w:w="1485" w:type="dxa"/>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备注</w:t>
            </w:r>
          </w:p>
        </w:tc>
        <w:tc>
          <w:tcPr>
            <w:tcW w:w="7020" w:type="dxa"/>
            <w:gridSpan w:val="9"/>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r>
    </w:tbl>
    <w:p>
      <w:pPr>
        <w:spacing w:line="440" w:lineRule="exact"/>
        <w:rPr>
          <w:rStyle w:val="58"/>
          <w:rFonts w:ascii="宋体" w:hAnsi="宋体"/>
          <w:szCs w:val="21"/>
        </w:rPr>
      </w:pPr>
      <w:r>
        <w:rPr>
          <w:rStyle w:val="58"/>
          <w:rFonts w:ascii="宋体" w:hAnsi="宋体"/>
          <w:szCs w:val="21"/>
        </w:rPr>
        <w:t>备注：本表后应附企业法人营业执照、企业资质证书副本、安全生产许可证等材料的复印件。</w:t>
      </w:r>
    </w:p>
    <w:p>
      <w:pPr>
        <w:spacing w:before="120" w:after="240" w:line="440" w:lineRule="exact"/>
        <w:jc w:val="center"/>
        <w:rPr>
          <w:rStyle w:val="58"/>
          <w:rFonts w:ascii="宋体" w:hAnsi="宋体"/>
          <w:szCs w:val="21"/>
          <w:shd w:val="pct10" w:color="auto" w:fill="FFFFFF"/>
        </w:rPr>
      </w:pPr>
      <w:r>
        <w:rPr>
          <w:rStyle w:val="58"/>
          <w:rFonts w:ascii="宋体" w:hAnsi="宋体"/>
          <w:szCs w:val="21"/>
          <w:shd w:val="pct10" w:color="auto" w:fill="FFFFFF"/>
        </w:rPr>
        <w:br w:type="page"/>
      </w:r>
    </w:p>
    <w:p>
      <w:pPr>
        <w:pStyle w:val="67"/>
        <w:numPr>
          <w:ilvl w:val="0"/>
          <w:numId w:val="19"/>
        </w:numPr>
        <w:snapToGrid w:val="0"/>
        <w:spacing w:line="440" w:lineRule="exact"/>
        <w:ind w:firstLineChars="0"/>
        <w:jc w:val="center"/>
        <w:rPr>
          <w:rStyle w:val="58"/>
          <w:rFonts w:ascii="宋体" w:hAnsi="宋体"/>
          <w:b/>
          <w:szCs w:val="21"/>
        </w:rPr>
      </w:pPr>
      <w:bookmarkStart w:id="237" w:name="_Toc16064006"/>
      <w:r>
        <w:rPr>
          <w:rStyle w:val="58"/>
          <w:rFonts w:hint="eastAsia" w:ascii="宋体" w:hAnsi="宋体"/>
          <w:b/>
          <w:szCs w:val="21"/>
        </w:rPr>
        <w:t>近三年</w:t>
      </w:r>
      <w:r>
        <w:rPr>
          <w:rStyle w:val="58"/>
          <w:rFonts w:ascii="宋体" w:hAnsi="宋体"/>
          <w:b/>
          <w:szCs w:val="21"/>
        </w:rPr>
        <w:t>财务状况：</w:t>
      </w:r>
      <w:bookmarkEnd w:id="237"/>
    </w:p>
    <w:p>
      <w:pPr>
        <w:pStyle w:val="67"/>
        <w:snapToGrid w:val="0"/>
        <w:spacing w:line="440" w:lineRule="exact"/>
        <w:ind w:left="1367" w:firstLine="0" w:firstLineChars="0"/>
        <w:rPr>
          <w:rStyle w:val="58"/>
          <w:rFonts w:ascii="宋体" w:hAnsi="宋体"/>
          <w:b/>
          <w:szCs w:val="21"/>
        </w:rPr>
      </w:pPr>
    </w:p>
    <w:p>
      <w:pPr>
        <w:spacing w:line="440" w:lineRule="exact"/>
        <w:ind w:firstLine="420" w:firstLineChars="200"/>
        <w:rPr>
          <w:rStyle w:val="58"/>
          <w:rFonts w:ascii="宋体" w:hAnsi="宋体"/>
          <w:szCs w:val="21"/>
        </w:rPr>
      </w:pPr>
      <w:r>
        <w:rPr>
          <w:rStyle w:val="58"/>
          <w:rFonts w:ascii="宋体" w:hAnsi="宋体"/>
        </w:rPr>
        <w:t>附：</w:t>
      </w:r>
      <w:r>
        <w:rPr>
          <w:rStyle w:val="58"/>
          <w:rFonts w:hint="eastAsia" w:ascii="宋体" w:hAnsi="宋体"/>
        </w:rPr>
        <w:t>投标人提供经会计师事务所审计且出具无保留意见的近三年（近三年指2022、2023、2024年）的财务审计报告，对应年度企业财务审计报告扫描件盖章附后。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r>
        <w:rPr>
          <w:rStyle w:val="58"/>
          <w:rFonts w:hint="eastAsia" w:ascii="宋体" w:hAnsi="宋体"/>
          <w:szCs w:val="21"/>
        </w:rPr>
        <w:t>要求后附</w:t>
      </w:r>
      <w:r>
        <w:rPr>
          <w:rStyle w:val="58"/>
          <w:rFonts w:hint="eastAsia" w:ascii="宋体" w:hAnsi="宋体"/>
          <w:b/>
          <w:bCs/>
          <w:szCs w:val="21"/>
        </w:rPr>
        <w:t>企业最近半年完税证明、信用证明材料（中国人民银行信用报告）；年度纳税信用评价信息（可从电子税务局查询截图）；企业对外担保说明（写明贵单位对外有无对外担保和质押业务）。</w:t>
      </w:r>
    </w:p>
    <w:tbl>
      <w:tblPr>
        <w:tblStyle w:val="38"/>
        <w:tblW w:w="928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322"/>
        <w:gridCol w:w="2322"/>
        <w:gridCol w:w="2322"/>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8" w:hRule="atLeast"/>
          <w:jc w:val="center"/>
        </w:trPr>
        <w:tc>
          <w:tcPr>
            <w:tcW w:w="9288" w:type="dxa"/>
            <w:gridSpan w:val="4"/>
            <w:vAlign w:val="center"/>
          </w:tcPr>
          <w:p>
            <w:pPr>
              <w:spacing w:line="440" w:lineRule="exact"/>
              <w:jc w:val="center"/>
              <w:rPr>
                <w:rStyle w:val="58"/>
                <w:rFonts w:ascii="宋体" w:hAnsi="宋体"/>
              </w:rPr>
            </w:pPr>
            <w:r>
              <w:rPr>
                <w:rStyle w:val="58"/>
                <w:rFonts w:hint="eastAsia" w:ascii="宋体" w:hAnsi="宋体"/>
              </w:rPr>
              <w:t>投标单位资产情况汇总表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注册资金（万元）</w:t>
            </w:r>
          </w:p>
        </w:tc>
        <w:tc>
          <w:tcPr>
            <w:tcW w:w="6966" w:type="dxa"/>
            <w:gridSpan w:val="3"/>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ascii="宋体" w:hAnsi="宋体"/>
              </w:rPr>
              <w:t>实收资金（万元）</w:t>
            </w:r>
          </w:p>
        </w:tc>
        <w:tc>
          <w:tcPr>
            <w:tcW w:w="6966" w:type="dxa"/>
            <w:gridSpan w:val="3"/>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年度资产情况</w:t>
            </w:r>
          </w:p>
        </w:tc>
        <w:tc>
          <w:tcPr>
            <w:tcW w:w="2322" w:type="dxa"/>
          </w:tcPr>
          <w:p>
            <w:pPr>
              <w:spacing w:line="440" w:lineRule="exact"/>
              <w:jc w:val="center"/>
              <w:rPr>
                <w:rStyle w:val="58"/>
                <w:rFonts w:ascii="宋体" w:hAnsi="宋体"/>
              </w:rPr>
            </w:pPr>
            <w:r>
              <w:rPr>
                <w:rStyle w:val="58"/>
                <w:rFonts w:ascii="宋体" w:hAnsi="宋体"/>
              </w:rPr>
              <w:t>2022</w:t>
            </w:r>
            <w:r>
              <w:rPr>
                <w:rStyle w:val="58"/>
                <w:rFonts w:hint="eastAsia" w:ascii="宋体" w:hAnsi="宋体"/>
              </w:rPr>
              <w:t>年</w:t>
            </w:r>
          </w:p>
        </w:tc>
        <w:tc>
          <w:tcPr>
            <w:tcW w:w="2322" w:type="dxa"/>
          </w:tcPr>
          <w:p>
            <w:pPr>
              <w:spacing w:line="440" w:lineRule="exact"/>
              <w:jc w:val="center"/>
              <w:rPr>
                <w:rStyle w:val="58"/>
                <w:rFonts w:ascii="宋体" w:hAnsi="宋体"/>
              </w:rPr>
            </w:pPr>
            <w:r>
              <w:rPr>
                <w:rStyle w:val="58"/>
                <w:rFonts w:ascii="宋体" w:hAnsi="宋体"/>
              </w:rPr>
              <w:t>2023</w:t>
            </w:r>
            <w:r>
              <w:rPr>
                <w:rStyle w:val="58"/>
                <w:rFonts w:hint="eastAsia" w:ascii="宋体" w:hAnsi="宋体"/>
              </w:rPr>
              <w:t>年</w:t>
            </w:r>
          </w:p>
        </w:tc>
        <w:tc>
          <w:tcPr>
            <w:tcW w:w="2322" w:type="dxa"/>
          </w:tcPr>
          <w:p>
            <w:pPr>
              <w:spacing w:line="440" w:lineRule="exact"/>
              <w:jc w:val="center"/>
              <w:rPr>
                <w:rStyle w:val="58"/>
                <w:rFonts w:ascii="宋体" w:hAnsi="宋体"/>
              </w:rPr>
            </w:pPr>
            <w:r>
              <w:rPr>
                <w:rStyle w:val="58"/>
                <w:rFonts w:ascii="宋体" w:hAnsi="宋体"/>
              </w:rPr>
              <w:t>2024</w:t>
            </w:r>
            <w:r>
              <w:rPr>
                <w:rStyle w:val="58"/>
                <w:rFonts w:hint="eastAsia" w:ascii="宋体" w:hAnsi="宋体"/>
              </w:rPr>
              <w:t>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流动资产（万元）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非流动资产（万元）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营业收入（万元）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年底资产总值（万元）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年底负债总值（万元）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ascii="宋体" w:hAnsi="宋体"/>
              </w:rPr>
              <w:t>资产负债率</w:t>
            </w:r>
            <w:r>
              <w:rPr>
                <w:rStyle w:val="58"/>
                <w:rFonts w:hint="eastAsia" w:ascii="宋体" w:hAnsi="宋体"/>
              </w:rPr>
              <w:t>（**.**%）</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净利润（万元）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Style w:val="58"/>
                <w:rFonts w:ascii="宋体" w:hAnsi="宋体"/>
              </w:rPr>
            </w:pPr>
            <w:r>
              <w:rPr>
                <w:rStyle w:val="58"/>
                <w:rFonts w:hint="eastAsia" w:ascii="宋体" w:hAnsi="宋体"/>
              </w:rPr>
              <w:t>未分配利润（万元）</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Fonts w:ascii="宋体" w:hAnsi="宋体"/>
              </w:rPr>
            </w:pPr>
            <w:r>
              <w:rPr>
                <w:rStyle w:val="58"/>
                <w:rFonts w:hint="eastAsia" w:ascii="宋体" w:hAnsi="宋体"/>
              </w:rPr>
              <w:t>营运</w:t>
            </w:r>
            <w:r>
              <w:rPr>
                <w:rStyle w:val="58"/>
                <w:rFonts w:ascii="宋体" w:hAnsi="宋体"/>
              </w:rPr>
              <w:t>资</w:t>
            </w:r>
            <w:r>
              <w:rPr>
                <w:rStyle w:val="58"/>
                <w:rFonts w:hint="eastAsia" w:ascii="宋体" w:hAnsi="宋体"/>
              </w:rPr>
              <w:t>金</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322" w:type="dxa"/>
          </w:tcPr>
          <w:p>
            <w:pPr>
              <w:spacing w:line="440" w:lineRule="exact"/>
              <w:jc w:val="center"/>
              <w:rPr>
                <w:rFonts w:ascii="宋体" w:hAnsi="宋体"/>
              </w:rPr>
            </w:pPr>
            <w:r>
              <w:rPr>
                <w:rStyle w:val="58"/>
                <w:rFonts w:hint="eastAsia" w:ascii="宋体" w:hAnsi="宋体"/>
              </w:rPr>
              <w:t>（本年营业收入-上年营业收入）÷上年营业收入</w:t>
            </w: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c>
          <w:tcPr>
            <w:tcW w:w="2322" w:type="dxa"/>
          </w:tcPr>
          <w:p>
            <w:pPr>
              <w:spacing w:line="440" w:lineRule="exact"/>
              <w:jc w:val="center"/>
              <w:rPr>
                <w:rStyle w:val="58"/>
                <w:rFonts w:ascii="宋体" w:hAnsi="宋体"/>
              </w:rPr>
            </w:pPr>
          </w:p>
        </w:tc>
      </w:tr>
    </w:tbl>
    <w:p>
      <w:pPr>
        <w:spacing w:line="440" w:lineRule="exact"/>
        <w:rPr>
          <w:rStyle w:val="58"/>
          <w:rFonts w:ascii="宋体" w:hAnsi="宋体"/>
        </w:rPr>
      </w:pPr>
      <w:r>
        <w:rPr>
          <w:rStyle w:val="58"/>
          <w:rFonts w:ascii="宋体" w:hAnsi="宋体"/>
        </w:rPr>
        <w:br w:type="page"/>
      </w:r>
    </w:p>
    <w:p>
      <w:pPr>
        <w:pStyle w:val="67"/>
        <w:numPr>
          <w:ilvl w:val="0"/>
          <w:numId w:val="19"/>
        </w:numPr>
        <w:snapToGrid w:val="0"/>
        <w:spacing w:line="440" w:lineRule="exact"/>
        <w:ind w:firstLineChars="0"/>
        <w:jc w:val="center"/>
        <w:rPr>
          <w:rStyle w:val="58"/>
          <w:rFonts w:ascii="宋体" w:hAnsi="宋体"/>
          <w:b/>
          <w:szCs w:val="21"/>
        </w:rPr>
      </w:pPr>
      <w:bookmarkStart w:id="238" w:name="_Toc16064007"/>
      <w:r>
        <w:rPr>
          <w:rStyle w:val="58"/>
          <w:rFonts w:ascii="宋体" w:hAnsi="宋体"/>
          <w:b/>
          <w:szCs w:val="21"/>
        </w:rPr>
        <w:t>拟派项目部主要管理人员：</w:t>
      </w:r>
      <w:bookmarkEnd w:id="238"/>
    </w:p>
    <w:p>
      <w:pPr>
        <w:pStyle w:val="67"/>
        <w:snapToGrid w:val="0"/>
        <w:spacing w:line="440" w:lineRule="exact"/>
        <w:ind w:left="1367" w:firstLine="0" w:firstLineChars="0"/>
        <w:rPr>
          <w:rStyle w:val="58"/>
          <w:rFonts w:ascii="宋体" w:hAnsi="宋体"/>
          <w:b/>
          <w:szCs w:val="21"/>
        </w:rPr>
      </w:pPr>
    </w:p>
    <w:p>
      <w:pPr>
        <w:spacing w:line="440" w:lineRule="exact"/>
        <w:rPr>
          <w:rStyle w:val="58"/>
          <w:rFonts w:ascii="宋体" w:hAnsi="宋体"/>
        </w:rPr>
      </w:pPr>
      <w:r>
        <w:rPr>
          <w:rStyle w:val="58"/>
          <w:rFonts w:ascii="宋体" w:hAnsi="宋体"/>
        </w:rPr>
        <w:t>附：</w:t>
      </w:r>
      <w:r>
        <w:rPr>
          <w:rStyle w:val="58"/>
          <w:rFonts w:hint="eastAsia" w:ascii="宋体" w:hAnsi="宋体"/>
        </w:rPr>
        <w:t>1、</w:t>
      </w:r>
      <w:r>
        <w:rPr>
          <w:rStyle w:val="58"/>
          <w:rFonts w:ascii="宋体" w:hAnsi="宋体"/>
        </w:rPr>
        <w:t xml:space="preserve">拟派项目经理的注册建造师执业资格证及安全生产考核合格B证复印件； </w:t>
      </w:r>
    </w:p>
    <w:p>
      <w:pPr>
        <w:spacing w:line="360" w:lineRule="exact"/>
        <w:ind w:firstLine="413" w:firstLineChars="196"/>
        <w:rPr>
          <w:rStyle w:val="58"/>
          <w:rFonts w:ascii="宋体" w:hAnsi="宋体"/>
          <w:b/>
          <w:bCs/>
          <w:u w:val="single"/>
        </w:rPr>
      </w:pPr>
      <w:r>
        <w:rPr>
          <w:rStyle w:val="58"/>
          <w:rFonts w:ascii="宋体" w:hAnsi="宋体"/>
          <w:b/>
          <w:bCs/>
          <w:u w:val="single"/>
        </w:rPr>
        <w:t>注：若以上人员资格证书无单位名称或与投标人单位名称不一致的，须提交投标截至时间前</w:t>
      </w:r>
      <w:r>
        <w:rPr>
          <w:rStyle w:val="58"/>
          <w:rFonts w:hint="eastAsia" w:ascii="宋体" w:hAnsi="宋体"/>
          <w:b/>
          <w:bCs/>
          <w:u w:val="single"/>
        </w:rPr>
        <w:t>一年</w:t>
      </w:r>
      <w:r>
        <w:rPr>
          <w:rStyle w:val="58"/>
          <w:rFonts w:ascii="宋体" w:hAnsi="宋体"/>
          <w:b/>
          <w:bCs/>
          <w:u w:val="single"/>
        </w:rPr>
        <w:t>内在本单位缴纳的连续</w:t>
      </w:r>
      <w:r>
        <w:rPr>
          <w:rStyle w:val="58"/>
          <w:rFonts w:hint="eastAsia" w:ascii="宋体" w:hAnsi="宋体"/>
          <w:b/>
          <w:bCs/>
          <w:u w:val="single"/>
        </w:rPr>
        <w:t>十二</w:t>
      </w:r>
      <w:r>
        <w:rPr>
          <w:rStyle w:val="58"/>
          <w:rFonts w:ascii="宋体" w:hAnsi="宋体"/>
          <w:b/>
          <w:bCs/>
          <w:u w:val="single"/>
        </w:rPr>
        <w:t>个月的社保证明，否则视为无效证件且不计入济建建字【2011】12号文规定的最低人员配备。</w:t>
      </w:r>
    </w:p>
    <w:p>
      <w:pPr>
        <w:spacing w:line="440" w:lineRule="exact"/>
        <w:rPr>
          <w:rStyle w:val="58"/>
          <w:rFonts w:ascii="宋体" w:hAnsi="宋体"/>
          <w:b/>
          <w:bCs/>
          <w:u w:val="single"/>
        </w:rPr>
      </w:pPr>
    </w:p>
    <w:p>
      <w:pPr>
        <w:pStyle w:val="67"/>
        <w:numPr>
          <w:ilvl w:val="0"/>
          <w:numId w:val="19"/>
        </w:numPr>
        <w:snapToGrid w:val="0"/>
        <w:spacing w:line="440" w:lineRule="exact"/>
        <w:ind w:firstLineChars="0"/>
        <w:jc w:val="center"/>
        <w:rPr>
          <w:rStyle w:val="58"/>
          <w:rFonts w:ascii="宋体" w:hAnsi="宋体"/>
          <w:b/>
          <w:szCs w:val="21"/>
        </w:rPr>
      </w:pPr>
      <w:bookmarkStart w:id="239" w:name="_Toc16064008"/>
      <w:r>
        <w:rPr>
          <w:rStyle w:val="58"/>
          <w:rFonts w:ascii="宋体" w:hAnsi="宋体"/>
          <w:b/>
          <w:szCs w:val="21"/>
        </w:rPr>
        <w:t>近三年承担的类似工程情况表</w:t>
      </w:r>
      <w:bookmarkEnd w:id="239"/>
    </w:p>
    <w:p>
      <w:pPr>
        <w:pStyle w:val="67"/>
        <w:snapToGrid w:val="0"/>
        <w:spacing w:line="440" w:lineRule="exact"/>
        <w:ind w:left="1367" w:firstLine="0" w:firstLineChars="0"/>
        <w:rPr>
          <w:rStyle w:val="58"/>
          <w:rFonts w:ascii="宋体" w:hAnsi="宋体"/>
          <w:b/>
          <w:szCs w:val="21"/>
        </w:rPr>
      </w:pPr>
    </w:p>
    <w:tbl>
      <w:tblPr>
        <w:tblStyle w:val="37"/>
        <w:tblW w:w="0" w:type="auto"/>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430"/>
        <w:gridCol w:w="602"/>
        <w:gridCol w:w="602"/>
        <w:gridCol w:w="729"/>
        <w:gridCol w:w="1239"/>
        <w:gridCol w:w="602"/>
        <w:gridCol w:w="939"/>
        <w:gridCol w:w="602"/>
        <w:gridCol w:w="602"/>
        <w:gridCol w:w="729"/>
        <w:gridCol w:w="12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bookmarkStart w:id="240" w:name="_Hlk161835794"/>
            <w:r>
              <w:rPr>
                <w:rStyle w:val="58"/>
                <w:rFonts w:ascii="宋体" w:hAnsi="宋体"/>
                <w:szCs w:val="21"/>
              </w:rPr>
              <w:t>序号</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项目名称</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项目规模</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发包人名称</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发包人联系人及电话</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合同价格</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开、竣工日期</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工程质量</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项目经理</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技术负责人</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总监理工程师及电话</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numPr>
                <w:ilvl w:val="0"/>
                <w:numId w:val="20"/>
              </w:num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24" w:hRule="atLeast"/>
          <w:jc w:val="center"/>
        </w:trPr>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r>
              <w:rPr>
                <w:rStyle w:val="58"/>
                <w:rFonts w:ascii="宋体" w:hAnsi="宋体"/>
                <w:szCs w:val="21"/>
              </w:rPr>
              <w:t>……</w:t>
            </w: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vAlign w:val="center"/>
          </w:tcPr>
          <w:p>
            <w:pPr>
              <w:jc w:val="center"/>
              <w:rPr>
                <w:rStyle w:val="58"/>
                <w:rFonts w:ascii="宋体" w:hAnsi="宋体"/>
                <w:szCs w:val="21"/>
              </w:rPr>
            </w:pPr>
          </w:p>
        </w:tc>
        <w:tc>
          <w:tcPr>
            <w:tcW w:w="0" w:type="auto"/>
            <w:tcBorders>
              <w:top w:val="single" w:color="000000" w:sz="4" w:space="0"/>
              <w:left w:val="single" w:color="000000" w:sz="4" w:space="0"/>
              <w:bottom w:val="single" w:color="000000" w:sz="4" w:space="0"/>
              <w:right w:val="single" w:color="000000" w:sz="4" w:space="0"/>
            </w:tcBorders>
          </w:tcPr>
          <w:p>
            <w:pPr>
              <w:jc w:val="center"/>
              <w:rPr>
                <w:rStyle w:val="58"/>
                <w:rFonts w:ascii="宋体" w:hAnsi="宋体"/>
                <w:szCs w:val="21"/>
              </w:rPr>
            </w:pPr>
          </w:p>
        </w:tc>
      </w:tr>
      <w:bookmarkEnd w:id="240"/>
    </w:tbl>
    <w:p>
      <w:pPr>
        <w:spacing w:line="440" w:lineRule="exact"/>
        <w:ind w:left="630" w:hanging="630" w:hangingChars="300"/>
        <w:rPr>
          <w:rStyle w:val="58"/>
          <w:rFonts w:ascii="宋体" w:hAnsi="宋体"/>
          <w:szCs w:val="21"/>
        </w:rPr>
      </w:pPr>
      <w:r>
        <w:rPr>
          <w:rStyle w:val="58"/>
          <w:rFonts w:ascii="宋体" w:hAnsi="宋体"/>
          <w:szCs w:val="21"/>
        </w:rPr>
        <w:t>备注：1.近三年指20</w:t>
      </w:r>
      <w:r>
        <w:rPr>
          <w:rStyle w:val="58"/>
          <w:rFonts w:hint="eastAsia" w:ascii="宋体" w:hAnsi="宋体"/>
          <w:szCs w:val="21"/>
        </w:rPr>
        <w:t>2</w:t>
      </w:r>
      <w:r>
        <w:rPr>
          <w:rStyle w:val="58"/>
          <w:rFonts w:ascii="宋体" w:hAnsi="宋体"/>
          <w:szCs w:val="21"/>
        </w:rPr>
        <w:t>2年10月1日至开标之日（以合同签订时间为准），类似工程：详见投标人须知前附表；</w:t>
      </w:r>
    </w:p>
    <w:p>
      <w:pPr>
        <w:spacing w:line="440" w:lineRule="exact"/>
        <w:ind w:left="630" w:leftChars="300"/>
        <w:rPr>
          <w:rStyle w:val="58"/>
          <w:rFonts w:ascii="宋体" w:hAnsi="宋体"/>
          <w:b/>
          <w:bCs/>
          <w:szCs w:val="21"/>
        </w:rPr>
      </w:pPr>
      <w:r>
        <w:rPr>
          <w:rStyle w:val="58"/>
          <w:rFonts w:ascii="宋体" w:hAnsi="宋体"/>
          <w:b/>
          <w:bCs/>
          <w:szCs w:val="21"/>
        </w:rPr>
        <w:t>2.评分细则中加分的企业业绩</w:t>
      </w:r>
      <w:r>
        <w:rPr>
          <w:rStyle w:val="58"/>
          <w:rFonts w:hint="eastAsia" w:ascii="宋体" w:hAnsi="宋体"/>
          <w:b/>
          <w:bCs/>
          <w:szCs w:val="21"/>
        </w:rPr>
        <w:t>、</w:t>
      </w:r>
      <w:r>
        <w:rPr>
          <w:rStyle w:val="58"/>
          <w:rFonts w:ascii="宋体" w:hAnsi="宋体"/>
          <w:b/>
          <w:bCs/>
          <w:szCs w:val="21"/>
        </w:rPr>
        <w:t>项目经理业绩须同时附在本表中，本表后附合同协议书的复印件。</w:t>
      </w:r>
      <w:r>
        <w:rPr>
          <w:rStyle w:val="58"/>
          <w:rFonts w:ascii="宋体" w:hAnsi="宋体"/>
          <w:b/>
          <w:bCs/>
          <w:szCs w:val="21"/>
        </w:rPr>
        <w:br w:type="page"/>
      </w:r>
    </w:p>
    <w:p>
      <w:pPr>
        <w:pStyle w:val="67"/>
        <w:numPr>
          <w:ilvl w:val="0"/>
          <w:numId w:val="19"/>
        </w:numPr>
        <w:snapToGrid w:val="0"/>
        <w:spacing w:line="440" w:lineRule="exact"/>
        <w:ind w:firstLineChars="0"/>
        <w:jc w:val="center"/>
        <w:rPr>
          <w:rStyle w:val="58"/>
          <w:rFonts w:ascii="宋体" w:hAnsi="宋体"/>
          <w:b/>
          <w:szCs w:val="21"/>
        </w:rPr>
      </w:pPr>
      <w:bookmarkStart w:id="241" w:name="_Toc16064009"/>
      <w:r>
        <w:rPr>
          <w:rStyle w:val="58"/>
          <w:rFonts w:ascii="宋体" w:hAnsi="宋体"/>
          <w:b/>
          <w:szCs w:val="21"/>
        </w:rPr>
        <w:t>无不良行为记录证明材料</w:t>
      </w:r>
      <w:bookmarkEnd w:id="241"/>
    </w:p>
    <w:p>
      <w:pPr>
        <w:spacing w:before="120" w:after="240" w:line="440" w:lineRule="exact"/>
        <w:ind w:firstLine="420" w:firstLineChars="200"/>
        <w:rPr>
          <w:rStyle w:val="58"/>
          <w:rFonts w:ascii="宋体" w:hAnsi="宋体"/>
        </w:rPr>
      </w:pPr>
      <w:r>
        <w:rPr>
          <w:rStyle w:val="58"/>
          <w:rFonts w:ascii="宋体" w:hAnsi="宋体"/>
        </w:rPr>
        <w:t>须附“中国裁判文书网”行贿犯罪档案查询结果截图及其他无不良行为记录证明材料。</w:t>
      </w:r>
    </w:p>
    <w:p>
      <w:pPr>
        <w:spacing w:before="120" w:after="240" w:line="440" w:lineRule="exact"/>
        <w:ind w:firstLine="420" w:firstLineChars="200"/>
        <w:rPr>
          <w:rStyle w:val="58"/>
          <w:rFonts w:ascii="宋体" w:hAnsi="宋体"/>
        </w:rPr>
      </w:pPr>
    </w:p>
    <w:p>
      <w:pPr>
        <w:pStyle w:val="67"/>
        <w:numPr>
          <w:ilvl w:val="0"/>
          <w:numId w:val="19"/>
        </w:numPr>
        <w:snapToGrid w:val="0"/>
        <w:spacing w:line="440" w:lineRule="exact"/>
        <w:ind w:left="765" w:firstLineChars="0"/>
        <w:rPr>
          <w:rStyle w:val="58"/>
          <w:rFonts w:ascii="宋体" w:hAnsi="宋体"/>
          <w:b/>
          <w:szCs w:val="21"/>
        </w:rPr>
      </w:pPr>
      <w:bookmarkStart w:id="242" w:name="_Toc16064010"/>
      <w:r>
        <w:rPr>
          <w:rStyle w:val="58"/>
          <w:rFonts w:ascii="宋体" w:hAnsi="宋体"/>
          <w:b/>
          <w:szCs w:val="21"/>
        </w:rPr>
        <w:t>近三年（2022年10月1日至开标之日）发生的诉讼及仲裁情况（应说明相关情况并附法院或仲裁机构作出的判决、仲裁等有关法律文书的复印件）</w:t>
      </w:r>
      <w:bookmarkEnd w:id="242"/>
    </w:p>
    <w:p>
      <w:pPr>
        <w:spacing w:line="440" w:lineRule="exact"/>
        <w:ind w:firstLine="433" w:firstLineChars="196"/>
        <w:rPr>
          <w:rStyle w:val="58"/>
          <w:rFonts w:ascii="宋体" w:hAnsi="宋体"/>
          <w:b/>
          <w:sz w:val="22"/>
          <w:szCs w:val="28"/>
        </w:rPr>
      </w:pPr>
    </w:p>
    <w:p>
      <w:pPr>
        <w:spacing w:line="440" w:lineRule="exact"/>
        <w:ind w:firstLine="433" w:firstLineChars="196"/>
      </w:pPr>
      <w:r>
        <w:rPr>
          <w:rStyle w:val="58"/>
          <w:rFonts w:ascii="宋体" w:hAnsi="宋体"/>
          <w:b/>
          <w:sz w:val="22"/>
          <w:szCs w:val="28"/>
        </w:rPr>
        <w:t>注：投标人应按照以上内容要求编制资格审查文件，并对资格审查文件的真实性负责，相关复印件应加盖单位公章。评标过程中评标委员若对资格审查文件有异议的，可要求投标人提供相应原件进行复核，未能及时提供原件或若发现有不实之处的，按废标处理。</w:t>
      </w:r>
      <w:r>
        <w:rPr>
          <w:rStyle w:val="58"/>
          <w:rFonts w:ascii="宋体" w:hAnsi="宋体"/>
          <w:b/>
          <w:sz w:val="22"/>
          <w:szCs w:val="28"/>
          <w:u w:val="single"/>
        </w:rPr>
        <w:t>其中第（一）、（二）、（三）、（五）条为必备条件,若无则资格</w:t>
      </w:r>
      <w:r>
        <w:rPr>
          <w:rStyle w:val="58"/>
          <w:rFonts w:hint="eastAsia" w:ascii="宋体" w:hAnsi="宋体"/>
          <w:b/>
          <w:sz w:val="22"/>
          <w:szCs w:val="28"/>
          <w:u w:val="single"/>
          <w:lang w:val="en-US" w:eastAsia="zh-CN"/>
        </w:rPr>
        <w:t>预</w:t>
      </w:r>
      <w:r>
        <w:rPr>
          <w:rStyle w:val="58"/>
          <w:rFonts w:ascii="宋体" w:hAnsi="宋体"/>
          <w:b/>
          <w:sz w:val="22"/>
          <w:szCs w:val="28"/>
          <w:u w:val="single"/>
        </w:rPr>
        <w:t>审不合格,第（四）、（六）项内容若无应注明“无”,若资格审查文件中无第（四）、（六）项内容且未在资格</w:t>
      </w:r>
      <w:r>
        <w:rPr>
          <w:rStyle w:val="58"/>
          <w:rFonts w:hint="eastAsia" w:ascii="宋体" w:hAnsi="宋体"/>
          <w:b/>
          <w:sz w:val="22"/>
          <w:szCs w:val="28"/>
          <w:u w:val="single"/>
          <w:lang w:val="en-US" w:eastAsia="zh-CN"/>
        </w:rPr>
        <w:t>预</w:t>
      </w:r>
      <w:r>
        <w:rPr>
          <w:rStyle w:val="58"/>
          <w:rFonts w:ascii="宋体" w:hAnsi="宋体"/>
          <w:b/>
          <w:sz w:val="22"/>
          <w:szCs w:val="28"/>
          <w:u w:val="single"/>
        </w:rPr>
        <w:t>审文件中注明的,则视为不合格，不参与下一步评审。</w:t>
      </w:r>
    </w:p>
    <w:p/>
    <w:p/>
    <w:sectPr>
      <w:headerReference r:id="rId22" w:type="first"/>
      <w:headerReference r:id="rId20" w:type="default"/>
      <w:headerReference r:id="rId21"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Consolas">
    <w:panose1 w:val="020B0609020204030204"/>
    <w:charset w:val="00"/>
    <w:family w:val="modern"/>
    <w:pitch w:val="default"/>
    <w:sig w:usb0="E00006FF" w:usb1="0000FCFF" w:usb2="00000001" w:usb3="00000000" w:csb0="6000019F" w:csb1="DFD7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10" w:usb3="00000000" w:csb0="00040000" w:csb1="00000000"/>
  </w:font>
  <w:font w:name="等线">
    <w:panose1 w:val="02010600030101010101"/>
    <w:charset w:val="86"/>
    <w:family w:val="auto"/>
    <w:pitch w:val="default"/>
    <w:sig w:usb0="A00002BF" w:usb1="38CF7CFA" w:usb2="00000016" w:usb3="00000000" w:csb0="0004000F" w:csb1="00000000"/>
  </w:font>
  <w:font w:name="华文中宋">
    <w:altName w:val="宋体"/>
    <w:panose1 w:val="02010600040101010101"/>
    <w:charset w:val="86"/>
    <w:family w:val="auto"/>
    <w:pitch w:val="default"/>
    <w:sig w:usb0="00000000" w:usb1="00000000" w:usb2="00000010" w:usb3="00000000" w:csb0="0004009F" w:csb1="00000000"/>
  </w:font>
  <w:font w:name="TimesNewRomanPSMT">
    <w:altName w:val="Times New Roman"/>
    <w:panose1 w:val="00000000000000000000"/>
    <w:charset w:val="00"/>
    <w:family w:val="roman"/>
    <w:pitch w:val="default"/>
    <w:sig w:usb0="00000000" w:usb1="00000000" w:usb2="00000000" w:usb3="00000000" w:csb0="00000001" w:csb1="00000000"/>
  </w:font>
  <w:font w:name="Wingdings 2">
    <w:altName w:val="Wingdings"/>
    <w:panose1 w:val="05020102010507070707"/>
    <w:charset w:val="02"/>
    <w:family w:val="roman"/>
    <w:pitch w:val="default"/>
    <w:sig w:usb0="00000000" w:usb1="00000000" w:usb2="00000000" w:usb3="00000000" w:csb0="80000000" w:csb1="00000000"/>
  </w:font>
  <w:font w:name="方正小标宋简体">
    <w:altName w:val="黑体"/>
    <w:panose1 w:val="03000509000000000000"/>
    <w:charset w:val="86"/>
    <w:family w:val="auto"/>
    <w:pitch w:val="default"/>
    <w:sig w:usb0="00000000" w:usb1="00000000" w:usb2="0000001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15480118"/>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818535034"/>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37399435"/>
      <w:docPartObj>
        <w:docPartGallery w:val="autotext"/>
      </w:docPartObj>
    </w:sdtPr>
    <w:sdtContent>
      <w:p>
        <w:pPr>
          <w:pStyle w:val="26"/>
          <w:jc w:val="center"/>
        </w:pPr>
        <w:r>
          <w:fldChar w:fldCharType="begin"/>
        </w:r>
        <w:r>
          <w:instrText xml:space="preserve">PAGE   \* MERGEFORMAT</w:instrText>
        </w:r>
        <w:r>
          <w:fldChar w:fldCharType="separate"/>
        </w:r>
        <w:r>
          <w:rPr>
            <w:lang w:val="zh-CN"/>
          </w:rPr>
          <w:t>2</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399556729"/>
      <w:docPartObj>
        <w:docPartGallery w:val="autotext"/>
      </w:docPartObj>
    </w:sdtPr>
    <w:sdtContent>
      <w:p>
        <w:pPr>
          <w:pStyle w:val="26"/>
          <w:jc w:val="center"/>
        </w:pPr>
        <w:r>
          <w:fldChar w:fldCharType="begin"/>
        </w:r>
        <w:r>
          <w:instrText xml:space="preserve">PAGE   \* MERGEFORMAT</w:instrText>
        </w:r>
        <w:r>
          <w:fldChar w:fldCharType="separate"/>
        </w:r>
        <w:r>
          <w:t>42</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Bdr>
        <w:bottom w:val="none" w:color="auto" w:sz="0" w:space="0"/>
      </w:pBd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left" w:pos="1020"/>
        <w:tab w:val="right" w:pos="8306"/>
      </w:tabs>
      <w:snapToGrid w:val="0"/>
      <w:rPr>
        <w:sz w:val="18"/>
      </w:rPr>
    </w:pPr>
    <w:r>
      <w:rPr>
        <w:rFonts w:hint="eastAsia"/>
        <w:sz w:val="18"/>
      </w:rPr>
      <w:tab/>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left" w:pos="1020"/>
        <w:tab w:val="right" w:pos="8306"/>
      </w:tabs>
      <w:snapToGrid w:val="0"/>
      <w:rPr>
        <w:sz w:val="18"/>
      </w:rPr>
    </w:pPr>
    <w:r>
      <w:rPr>
        <w:rFonts w:hint="eastAsia"/>
        <w:sz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B3F17DF"/>
    <w:multiLevelType w:val="singleLevel"/>
    <w:tmpl w:val="9B3F17DF"/>
    <w:lvl w:ilvl="0" w:tentative="0">
      <w:start w:val="2"/>
      <w:numFmt w:val="decimal"/>
      <w:lvlText w:val="%1."/>
      <w:lvlJc w:val="left"/>
      <w:pPr>
        <w:tabs>
          <w:tab w:val="left" w:pos="312"/>
        </w:tabs>
      </w:pPr>
    </w:lvl>
  </w:abstractNum>
  <w:abstractNum w:abstractNumId="1">
    <w:nsid w:val="D26A09EE"/>
    <w:multiLevelType w:val="singleLevel"/>
    <w:tmpl w:val="D26A09EE"/>
    <w:lvl w:ilvl="0" w:tentative="0">
      <w:start w:val="1"/>
      <w:numFmt w:val="decimal"/>
      <w:suff w:val="space"/>
      <w:lvlText w:val="(%1)"/>
      <w:lvlJc w:val="left"/>
    </w:lvl>
  </w:abstractNum>
  <w:abstractNum w:abstractNumId="2">
    <w:nsid w:val="E384DFE0"/>
    <w:multiLevelType w:val="singleLevel"/>
    <w:tmpl w:val="E384DFE0"/>
    <w:lvl w:ilvl="0" w:tentative="0">
      <w:start w:val="1"/>
      <w:numFmt w:val="decimal"/>
      <w:suff w:val="nothing"/>
      <w:lvlText w:val="（%1）"/>
      <w:lvlJc w:val="left"/>
    </w:lvl>
  </w:abstractNum>
  <w:abstractNum w:abstractNumId="3">
    <w:nsid w:val="F63619FA"/>
    <w:multiLevelType w:val="multilevel"/>
    <w:tmpl w:val="F63619FA"/>
    <w:lvl w:ilvl="0" w:tentative="0">
      <w:start w:val="1"/>
      <w:numFmt w:val="decimal"/>
      <w:lvlText w:val="%1."/>
      <w:lvlJc w:val="left"/>
      <w:pPr>
        <w:tabs>
          <w:tab w:val="left" w:pos="312"/>
        </w:tabs>
        <w:ind w:left="0" w:firstLine="0"/>
      </w:pPr>
      <w:rPr>
        <w:rFonts w:hint="default" w:ascii="Times New Roman" w:hAnsi="Times New Roman" w:cs="Times New Roman"/>
      </w:rPr>
    </w:lvl>
    <w:lvl w:ilvl="1" w:tentative="0">
      <w:start w:val="1"/>
      <w:numFmt w:val="decimal"/>
      <w:lvlText w:val="%1."/>
      <w:lvlJc w:val="left"/>
      <w:pPr>
        <w:tabs>
          <w:tab w:val="left" w:pos="312"/>
        </w:tabs>
        <w:ind w:left="0" w:firstLine="0"/>
      </w:pPr>
      <w:rPr>
        <w:rFonts w:hint="default" w:ascii="Times New Roman" w:hAnsi="Times New Roman" w:cs="Times New Roman"/>
      </w:rPr>
    </w:lvl>
    <w:lvl w:ilvl="2" w:tentative="0">
      <w:start w:val="1"/>
      <w:numFmt w:val="decimal"/>
      <w:lvlText w:val="%1."/>
      <w:lvlJc w:val="left"/>
      <w:pPr>
        <w:tabs>
          <w:tab w:val="left" w:pos="312"/>
        </w:tabs>
        <w:ind w:left="0" w:firstLine="0"/>
      </w:pPr>
      <w:rPr>
        <w:rFonts w:hint="default" w:ascii="Times New Roman" w:hAnsi="Times New Roman" w:cs="Times New Roman"/>
      </w:rPr>
    </w:lvl>
    <w:lvl w:ilvl="3" w:tentative="0">
      <w:start w:val="1"/>
      <w:numFmt w:val="decimal"/>
      <w:lvlText w:val="%1."/>
      <w:lvlJc w:val="left"/>
      <w:pPr>
        <w:tabs>
          <w:tab w:val="left" w:pos="312"/>
        </w:tabs>
        <w:ind w:left="0" w:firstLine="0"/>
      </w:pPr>
      <w:rPr>
        <w:rFonts w:hint="default" w:ascii="Times New Roman" w:hAnsi="Times New Roman" w:cs="Times New Roman"/>
      </w:rPr>
    </w:lvl>
    <w:lvl w:ilvl="4" w:tentative="0">
      <w:start w:val="1"/>
      <w:numFmt w:val="decimal"/>
      <w:lvlText w:val="%1."/>
      <w:lvlJc w:val="left"/>
      <w:pPr>
        <w:tabs>
          <w:tab w:val="left" w:pos="312"/>
        </w:tabs>
        <w:ind w:left="0" w:firstLine="0"/>
      </w:pPr>
      <w:rPr>
        <w:rFonts w:hint="default" w:ascii="Times New Roman" w:hAnsi="Times New Roman" w:cs="Times New Roman"/>
      </w:rPr>
    </w:lvl>
    <w:lvl w:ilvl="5" w:tentative="0">
      <w:start w:val="1"/>
      <w:numFmt w:val="decimal"/>
      <w:lvlText w:val="%1."/>
      <w:lvlJc w:val="left"/>
      <w:pPr>
        <w:tabs>
          <w:tab w:val="left" w:pos="312"/>
        </w:tabs>
        <w:ind w:left="0" w:firstLine="0"/>
      </w:pPr>
      <w:rPr>
        <w:rFonts w:hint="default" w:ascii="Times New Roman" w:hAnsi="Times New Roman" w:cs="Times New Roman"/>
      </w:rPr>
    </w:lvl>
    <w:lvl w:ilvl="6" w:tentative="0">
      <w:start w:val="1"/>
      <w:numFmt w:val="decimal"/>
      <w:lvlText w:val="%1."/>
      <w:lvlJc w:val="left"/>
      <w:pPr>
        <w:tabs>
          <w:tab w:val="left" w:pos="312"/>
        </w:tabs>
        <w:ind w:left="0" w:firstLine="0"/>
      </w:pPr>
      <w:rPr>
        <w:rFonts w:hint="default" w:ascii="Times New Roman" w:hAnsi="Times New Roman" w:cs="Times New Roman"/>
      </w:rPr>
    </w:lvl>
    <w:lvl w:ilvl="7" w:tentative="0">
      <w:start w:val="1"/>
      <w:numFmt w:val="decimal"/>
      <w:lvlText w:val="%1."/>
      <w:lvlJc w:val="left"/>
      <w:pPr>
        <w:tabs>
          <w:tab w:val="left" w:pos="312"/>
        </w:tabs>
        <w:ind w:left="0" w:firstLine="0"/>
      </w:pPr>
      <w:rPr>
        <w:rFonts w:hint="default" w:ascii="Times New Roman" w:hAnsi="Times New Roman" w:cs="Times New Roman"/>
      </w:rPr>
    </w:lvl>
    <w:lvl w:ilvl="8" w:tentative="0">
      <w:start w:val="1"/>
      <w:numFmt w:val="decimal"/>
      <w:lvlText w:val="%1."/>
      <w:lvlJc w:val="left"/>
      <w:pPr>
        <w:tabs>
          <w:tab w:val="left" w:pos="312"/>
        </w:tabs>
        <w:ind w:left="0" w:firstLine="0"/>
      </w:pPr>
      <w:rPr>
        <w:rFonts w:hint="default" w:ascii="Times New Roman" w:hAnsi="Times New Roman" w:cs="Times New Roman"/>
      </w:rPr>
    </w:lvl>
  </w:abstractNum>
  <w:abstractNum w:abstractNumId="4">
    <w:nsid w:val="029207EF"/>
    <w:multiLevelType w:val="singleLevel"/>
    <w:tmpl w:val="029207EF"/>
    <w:lvl w:ilvl="0" w:tentative="0">
      <w:start w:val="1"/>
      <w:numFmt w:val="decimal"/>
      <w:suff w:val="nothing"/>
      <w:lvlText w:val="（%1）"/>
      <w:lvlJc w:val="left"/>
      <w:rPr>
        <w:color w:val="auto"/>
      </w:rPr>
    </w:lvl>
  </w:abstractNum>
  <w:abstractNum w:abstractNumId="5">
    <w:nsid w:val="09AB24EA"/>
    <w:multiLevelType w:val="multilevel"/>
    <w:tmpl w:val="09AB24EA"/>
    <w:lvl w:ilvl="0" w:tentative="0">
      <w:start w:val="1"/>
      <w:numFmt w:val="chineseCount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6">
    <w:nsid w:val="0D2A3EC8"/>
    <w:multiLevelType w:val="multilevel"/>
    <w:tmpl w:val="0D2A3EC8"/>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7">
    <w:nsid w:val="0F527ADD"/>
    <w:multiLevelType w:val="multilevel"/>
    <w:tmpl w:val="0F527ADD"/>
    <w:lvl w:ilvl="0" w:tentative="0">
      <w:start w:val="1"/>
      <w:numFmt w:val="japaneseCounting"/>
      <w:lvlText w:val="（%1）"/>
      <w:lvlJc w:val="left"/>
      <w:pPr>
        <w:ind w:left="1367" w:hanging="765"/>
      </w:pPr>
      <w:rPr>
        <w:rFonts w:hint="default"/>
      </w:rPr>
    </w:lvl>
    <w:lvl w:ilvl="1" w:tentative="0">
      <w:start w:val="1"/>
      <w:numFmt w:val="lowerLetter"/>
      <w:lvlText w:val="%2)"/>
      <w:lvlJc w:val="left"/>
      <w:pPr>
        <w:ind w:left="1442" w:hanging="420"/>
      </w:pPr>
    </w:lvl>
    <w:lvl w:ilvl="2" w:tentative="0">
      <w:start w:val="1"/>
      <w:numFmt w:val="lowerRoman"/>
      <w:lvlText w:val="%3."/>
      <w:lvlJc w:val="right"/>
      <w:pPr>
        <w:ind w:left="1862" w:hanging="420"/>
      </w:pPr>
    </w:lvl>
    <w:lvl w:ilvl="3" w:tentative="0">
      <w:start w:val="1"/>
      <w:numFmt w:val="decimal"/>
      <w:lvlText w:val="%4."/>
      <w:lvlJc w:val="left"/>
      <w:pPr>
        <w:ind w:left="2282" w:hanging="420"/>
      </w:pPr>
    </w:lvl>
    <w:lvl w:ilvl="4" w:tentative="0">
      <w:start w:val="1"/>
      <w:numFmt w:val="lowerLetter"/>
      <w:lvlText w:val="%5)"/>
      <w:lvlJc w:val="left"/>
      <w:pPr>
        <w:ind w:left="2702" w:hanging="420"/>
      </w:pPr>
    </w:lvl>
    <w:lvl w:ilvl="5" w:tentative="0">
      <w:start w:val="1"/>
      <w:numFmt w:val="lowerRoman"/>
      <w:lvlText w:val="%6."/>
      <w:lvlJc w:val="right"/>
      <w:pPr>
        <w:ind w:left="3122" w:hanging="420"/>
      </w:pPr>
    </w:lvl>
    <w:lvl w:ilvl="6" w:tentative="0">
      <w:start w:val="1"/>
      <w:numFmt w:val="decimal"/>
      <w:lvlText w:val="%7."/>
      <w:lvlJc w:val="left"/>
      <w:pPr>
        <w:ind w:left="3542" w:hanging="420"/>
      </w:pPr>
    </w:lvl>
    <w:lvl w:ilvl="7" w:tentative="0">
      <w:start w:val="1"/>
      <w:numFmt w:val="lowerLetter"/>
      <w:lvlText w:val="%8)"/>
      <w:lvlJc w:val="left"/>
      <w:pPr>
        <w:ind w:left="3962" w:hanging="420"/>
      </w:pPr>
    </w:lvl>
    <w:lvl w:ilvl="8" w:tentative="0">
      <w:start w:val="1"/>
      <w:numFmt w:val="lowerRoman"/>
      <w:lvlText w:val="%9."/>
      <w:lvlJc w:val="right"/>
      <w:pPr>
        <w:ind w:left="4382" w:hanging="420"/>
      </w:pPr>
    </w:lvl>
  </w:abstractNum>
  <w:abstractNum w:abstractNumId="8">
    <w:nsid w:val="10CFA16F"/>
    <w:multiLevelType w:val="singleLevel"/>
    <w:tmpl w:val="10CFA16F"/>
    <w:lvl w:ilvl="0" w:tentative="0">
      <w:start w:val="1"/>
      <w:numFmt w:val="decimal"/>
      <w:suff w:val="space"/>
      <w:lvlText w:val="（%1）"/>
      <w:lvlJc w:val="left"/>
      <w:pPr>
        <w:ind w:left="450" w:firstLine="0"/>
      </w:pPr>
    </w:lvl>
  </w:abstractNum>
  <w:abstractNum w:abstractNumId="9">
    <w:nsid w:val="15243912"/>
    <w:multiLevelType w:val="multilevel"/>
    <w:tmpl w:val="15243912"/>
    <w:lvl w:ilvl="0" w:tentative="0">
      <w:start w:val="1"/>
      <w:numFmt w:val="decimal"/>
      <w:suff w:val="nothing"/>
      <w:lvlText w:val="（%1）"/>
      <w:lvlJc w:val="left"/>
      <w:pPr>
        <w:ind w:left="840" w:hanging="420"/>
      </w:p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0">
    <w:nsid w:val="252A6733"/>
    <w:multiLevelType w:val="multilevel"/>
    <w:tmpl w:val="252A6733"/>
    <w:lvl w:ilvl="0" w:tentative="0">
      <w:start w:val="1"/>
      <w:numFmt w:val="decimal"/>
      <w:suff w:val="nothing"/>
      <w:lvlText w:val="（%1）"/>
      <w:lvlJc w:val="left"/>
      <w:pPr>
        <w:ind w:left="1020" w:hanging="420"/>
      </w:pPr>
      <w:rPr>
        <w:rFonts w:hint="eastAsia"/>
        <w:i/>
        <w:iCs/>
        <w:sz w:val="30"/>
        <w:szCs w:val="30"/>
      </w:rPr>
    </w:lvl>
    <w:lvl w:ilvl="1" w:tentative="0">
      <w:start w:val="1"/>
      <w:numFmt w:val="lowerLetter"/>
      <w:lvlText w:val="%2)"/>
      <w:lvlJc w:val="left"/>
      <w:pPr>
        <w:ind w:left="1440" w:hanging="420"/>
      </w:pPr>
    </w:lvl>
    <w:lvl w:ilvl="2" w:tentative="0">
      <w:start w:val="1"/>
      <w:numFmt w:val="lowerRoman"/>
      <w:lvlText w:val="%3."/>
      <w:lvlJc w:val="right"/>
      <w:pPr>
        <w:ind w:left="1860" w:hanging="420"/>
      </w:pPr>
    </w:lvl>
    <w:lvl w:ilvl="3" w:tentative="0">
      <w:start w:val="1"/>
      <w:numFmt w:val="decimal"/>
      <w:lvlText w:val="%4."/>
      <w:lvlJc w:val="left"/>
      <w:pPr>
        <w:ind w:left="2280" w:hanging="420"/>
      </w:pPr>
    </w:lvl>
    <w:lvl w:ilvl="4" w:tentative="0">
      <w:start w:val="1"/>
      <w:numFmt w:val="lowerLetter"/>
      <w:lvlText w:val="%5)"/>
      <w:lvlJc w:val="left"/>
      <w:pPr>
        <w:ind w:left="2700" w:hanging="420"/>
      </w:pPr>
    </w:lvl>
    <w:lvl w:ilvl="5" w:tentative="0">
      <w:start w:val="1"/>
      <w:numFmt w:val="lowerRoman"/>
      <w:lvlText w:val="%6."/>
      <w:lvlJc w:val="right"/>
      <w:pPr>
        <w:ind w:left="3120" w:hanging="420"/>
      </w:pPr>
    </w:lvl>
    <w:lvl w:ilvl="6" w:tentative="0">
      <w:start w:val="1"/>
      <w:numFmt w:val="decimal"/>
      <w:lvlText w:val="%7."/>
      <w:lvlJc w:val="left"/>
      <w:pPr>
        <w:ind w:left="3540" w:hanging="420"/>
      </w:pPr>
    </w:lvl>
    <w:lvl w:ilvl="7" w:tentative="0">
      <w:start w:val="1"/>
      <w:numFmt w:val="lowerLetter"/>
      <w:lvlText w:val="%8)"/>
      <w:lvlJc w:val="left"/>
      <w:pPr>
        <w:ind w:left="3960" w:hanging="420"/>
      </w:pPr>
    </w:lvl>
    <w:lvl w:ilvl="8" w:tentative="0">
      <w:start w:val="1"/>
      <w:numFmt w:val="lowerRoman"/>
      <w:lvlText w:val="%9."/>
      <w:lvlJc w:val="right"/>
      <w:pPr>
        <w:ind w:left="4380" w:hanging="420"/>
      </w:pPr>
    </w:lvl>
  </w:abstractNum>
  <w:abstractNum w:abstractNumId="11">
    <w:nsid w:val="2A2635F5"/>
    <w:multiLevelType w:val="multilevel"/>
    <w:tmpl w:val="2A2635F5"/>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2">
    <w:nsid w:val="2C70B407"/>
    <w:multiLevelType w:val="singleLevel"/>
    <w:tmpl w:val="2C70B407"/>
    <w:lvl w:ilvl="0" w:tentative="0">
      <w:start w:val="6"/>
      <w:numFmt w:val="chineseCounting"/>
      <w:suff w:val="nothing"/>
      <w:lvlText w:val="%1、"/>
      <w:lvlJc w:val="left"/>
      <w:rPr>
        <w:rFonts w:hint="eastAsia"/>
        <w:i w:val="0"/>
        <w:iCs w:val="0"/>
        <w:color w:val="auto"/>
      </w:rPr>
    </w:lvl>
  </w:abstractNum>
  <w:abstractNum w:abstractNumId="13">
    <w:nsid w:val="3542603B"/>
    <w:multiLevelType w:val="singleLevel"/>
    <w:tmpl w:val="3542603B"/>
    <w:lvl w:ilvl="0" w:tentative="0">
      <w:start w:val="1"/>
      <w:numFmt w:val="decimal"/>
      <w:lvlText w:val="%1."/>
      <w:lvlJc w:val="left"/>
      <w:pPr>
        <w:tabs>
          <w:tab w:val="left" w:pos="312"/>
        </w:tabs>
      </w:pPr>
    </w:lvl>
  </w:abstractNum>
  <w:abstractNum w:abstractNumId="14">
    <w:nsid w:val="47443DFE"/>
    <w:multiLevelType w:val="multilevel"/>
    <w:tmpl w:val="47443DFE"/>
    <w:lvl w:ilvl="0" w:tentative="0">
      <w:start w:val="1"/>
      <w:numFmt w:val="decimal"/>
      <w:suff w:val="nothing"/>
      <w:lvlText w:val="（%1）"/>
      <w:lvlJc w:val="left"/>
      <w:pPr>
        <w:ind w:left="420" w:hanging="420"/>
      </w:pPr>
      <w:rPr>
        <w:rFonts w:hint="eastAsia"/>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5">
    <w:nsid w:val="48D12FB5"/>
    <w:multiLevelType w:val="multilevel"/>
    <w:tmpl w:val="48D12FB5"/>
    <w:lvl w:ilvl="0" w:tentative="0">
      <w:start w:val="1"/>
      <w:numFmt w:val="decimal"/>
      <w:suff w:val="nothing"/>
      <w:lvlText w:val="%1"/>
      <w:lvlJc w:val="left"/>
      <w:pPr>
        <w:ind w:left="420" w:hanging="420"/>
      </w:pPr>
      <w:rPr>
        <w:rFonts w:hint="eastAsia"/>
        <w:b/>
        <w:bCs/>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6">
    <w:nsid w:val="55F53B41"/>
    <w:multiLevelType w:val="multilevel"/>
    <w:tmpl w:val="55F53B41"/>
    <w:lvl w:ilvl="0" w:tentative="0">
      <w:start w:val="2"/>
      <w:numFmt w:val="decimal"/>
      <w:suff w:val="nothing"/>
      <w:lvlText w:val="%1）"/>
      <w:lvlJc w:val="left"/>
      <w:pPr>
        <w:tabs>
          <w:tab w:val="left" w:pos="0"/>
        </w:tabs>
        <w:ind w:left="0" w:firstLine="0"/>
      </w:pPr>
      <w:rPr>
        <w:rFonts w:hint="default" w:ascii="Times New Roman" w:hAnsi="Times New Roman" w:cs="Times New Roman"/>
      </w:rPr>
    </w:lvl>
    <w:lvl w:ilvl="1" w:tentative="0">
      <w:start w:val="2"/>
      <w:numFmt w:val="decimal"/>
      <w:suff w:val="nothing"/>
      <w:lvlText w:val="%1）"/>
      <w:lvlJc w:val="left"/>
      <w:pPr>
        <w:tabs>
          <w:tab w:val="left" w:pos="0"/>
        </w:tabs>
        <w:ind w:left="0" w:firstLine="0"/>
      </w:pPr>
      <w:rPr>
        <w:rFonts w:hint="default" w:ascii="Times New Roman" w:hAnsi="Times New Roman" w:cs="Times New Roman"/>
      </w:rPr>
    </w:lvl>
    <w:lvl w:ilvl="2" w:tentative="0">
      <w:start w:val="2"/>
      <w:numFmt w:val="decimal"/>
      <w:suff w:val="nothing"/>
      <w:lvlText w:val="%1）"/>
      <w:lvlJc w:val="left"/>
      <w:pPr>
        <w:tabs>
          <w:tab w:val="left" w:pos="0"/>
        </w:tabs>
        <w:ind w:left="0" w:firstLine="0"/>
      </w:pPr>
      <w:rPr>
        <w:rFonts w:hint="default" w:ascii="Times New Roman" w:hAnsi="Times New Roman" w:cs="Times New Roman"/>
      </w:rPr>
    </w:lvl>
    <w:lvl w:ilvl="3" w:tentative="0">
      <w:start w:val="2"/>
      <w:numFmt w:val="decimal"/>
      <w:suff w:val="nothing"/>
      <w:lvlText w:val="%1）"/>
      <w:lvlJc w:val="left"/>
      <w:pPr>
        <w:tabs>
          <w:tab w:val="left" w:pos="0"/>
        </w:tabs>
        <w:ind w:left="0" w:firstLine="0"/>
      </w:pPr>
      <w:rPr>
        <w:rFonts w:hint="default" w:ascii="Times New Roman" w:hAnsi="Times New Roman" w:cs="Times New Roman"/>
      </w:rPr>
    </w:lvl>
    <w:lvl w:ilvl="4" w:tentative="0">
      <w:start w:val="2"/>
      <w:numFmt w:val="decimal"/>
      <w:suff w:val="nothing"/>
      <w:lvlText w:val="%1）"/>
      <w:lvlJc w:val="left"/>
      <w:pPr>
        <w:tabs>
          <w:tab w:val="left" w:pos="0"/>
        </w:tabs>
        <w:ind w:left="0" w:firstLine="0"/>
      </w:pPr>
      <w:rPr>
        <w:rFonts w:hint="default" w:ascii="Times New Roman" w:hAnsi="Times New Roman" w:cs="Times New Roman"/>
      </w:rPr>
    </w:lvl>
    <w:lvl w:ilvl="5" w:tentative="0">
      <w:start w:val="2"/>
      <w:numFmt w:val="decimal"/>
      <w:suff w:val="nothing"/>
      <w:lvlText w:val="%1）"/>
      <w:lvlJc w:val="left"/>
      <w:pPr>
        <w:tabs>
          <w:tab w:val="left" w:pos="0"/>
        </w:tabs>
        <w:ind w:left="0" w:firstLine="0"/>
      </w:pPr>
      <w:rPr>
        <w:rFonts w:hint="default" w:ascii="Times New Roman" w:hAnsi="Times New Roman" w:cs="Times New Roman"/>
      </w:rPr>
    </w:lvl>
    <w:lvl w:ilvl="6" w:tentative="0">
      <w:start w:val="2"/>
      <w:numFmt w:val="decimal"/>
      <w:suff w:val="nothing"/>
      <w:lvlText w:val="%1）"/>
      <w:lvlJc w:val="left"/>
      <w:pPr>
        <w:tabs>
          <w:tab w:val="left" w:pos="0"/>
        </w:tabs>
        <w:ind w:left="0" w:firstLine="0"/>
      </w:pPr>
      <w:rPr>
        <w:rFonts w:hint="default" w:ascii="Times New Roman" w:hAnsi="Times New Roman" w:cs="Times New Roman"/>
      </w:rPr>
    </w:lvl>
    <w:lvl w:ilvl="7" w:tentative="0">
      <w:start w:val="2"/>
      <w:numFmt w:val="decimal"/>
      <w:suff w:val="nothing"/>
      <w:lvlText w:val="%1）"/>
      <w:lvlJc w:val="left"/>
      <w:pPr>
        <w:tabs>
          <w:tab w:val="left" w:pos="0"/>
        </w:tabs>
        <w:ind w:left="0" w:firstLine="0"/>
      </w:pPr>
      <w:rPr>
        <w:rFonts w:hint="default" w:ascii="Times New Roman" w:hAnsi="Times New Roman" w:cs="Times New Roman"/>
      </w:rPr>
    </w:lvl>
    <w:lvl w:ilvl="8" w:tentative="0">
      <w:start w:val="2"/>
      <w:numFmt w:val="decimal"/>
      <w:suff w:val="nothing"/>
      <w:lvlText w:val="%1）"/>
      <w:lvlJc w:val="left"/>
      <w:pPr>
        <w:tabs>
          <w:tab w:val="left" w:pos="0"/>
        </w:tabs>
        <w:ind w:left="0" w:firstLine="0"/>
      </w:pPr>
      <w:rPr>
        <w:rFonts w:hint="default" w:ascii="Times New Roman" w:hAnsi="Times New Roman" w:cs="Times New Roman"/>
      </w:rPr>
    </w:lvl>
  </w:abstractNum>
  <w:abstractNum w:abstractNumId="17">
    <w:nsid w:val="7446C7A1"/>
    <w:multiLevelType w:val="singleLevel"/>
    <w:tmpl w:val="7446C7A1"/>
    <w:lvl w:ilvl="0" w:tentative="0">
      <w:start w:val="1"/>
      <w:numFmt w:val="decimal"/>
      <w:lvlText w:val="%1."/>
      <w:lvlJc w:val="left"/>
      <w:pPr>
        <w:tabs>
          <w:tab w:val="left" w:pos="312"/>
        </w:tabs>
      </w:pPr>
    </w:lvl>
  </w:abstractNum>
  <w:abstractNum w:abstractNumId="18">
    <w:nsid w:val="7ABA7CDB"/>
    <w:multiLevelType w:val="singleLevel"/>
    <w:tmpl w:val="7ABA7CDB"/>
    <w:lvl w:ilvl="0" w:tentative="0">
      <w:start w:val="1"/>
      <w:numFmt w:val="decimal"/>
      <w:suff w:val="nothing"/>
      <w:lvlText w:val="（%1）"/>
      <w:lvlJc w:val="left"/>
      <w:pPr>
        <w:ind w:left="0" w:firstLine="0"/>
      </w:pPr>
      <w:rPr>
        <w:rFonts w:hint="eastAsia"/>
      </w:rPr>
    </w:lvl>
  </w:abstractNum>
  <w:abstractNum w:abstractNumId="19">
    <w:nsid w:val="7C790F0F"/>
    <w:multiLevelType w:val="multilevel"/>
    <w:tmpl w:val="7C790F0F"/>
    <w:lvl w:ilvl="0" w:tentative="0">
      <w:start w:val="1"/>
      <w:numFmt w:val="decimal"/>
      <w:suff w:val="nothing"/>
      <w:lvlText w:val="%1"/>
      <w:lvlJc w:val="left"/>
      <w:pPr>
        <w:ind w:left="420" w:hanging="420"/>
      </w:pPr>
      <w:rPr>
        <w:rFonts w:hint="eastAsia"/>
      </w:rPr>
    </w:lvl>
    <w:lvl w:ilvl="1" w:tentative="0">
      <w:start w:val="1"/>
      <w:numFmt w:val="lowerLetter"/>
      <w:lvlText w:val="%1)"/>
      <w:lvlJc w:val="left"/>
      <w:pPr>
        <w:ind w:left="840" w:hanging="420"/>
      </w:pPr>
      <w:rPr>
        <w:rFonts w:hint="eastAsia"/>
      </w:rPr>
    </w:lvl>
    <w:lvl w:ilvl="2" w:tentative="0">
      <w:start w:val="1"/>
      <w:numFmt w:val="lowerRoman"/>
      <w:lvlText w:val="%1."/>
      <w:lvlJc w:val="right"/>
      <w:pPr>
        <w:ind w:left="1260" w:hanging="420"/>
      </w:pPr>
      <w:rPr>
        <w:rFonts w:hint="eastAsia"/>
      </w:rPr>
    </w:lvl>
    <w:lvl w:ilvl="3" w:tentative="0">
      <w:start w:val="1"/>
      <w:numFmt w:val="decimal"/>
      <w:lvlText w:val="%1."/>
      <w:lvlJc w:val="left"/>
      <w:pPr>
        <w:ind w:left="1680" w:hanging="420"/>
      </w:pPr>
      <w:rPr>
        <w:rFonts w:hint="eastAsia"/>
      </w:rPr>
    </w:lvl>
    <w:lvl w:ilvl="4" w:tentative="0">
      <w:start w:val="1"/>
      <w:numFmt w:val="lowerLetter"/>
      <w:lvlText w:val="%1)"/>
      <w:lvlJc w:val="left"/>
      <w:pPr>
        <w:ind w:left="2100" w:hanging="420"/>
      </w:pPr>
      <w:rPr>
        <w:rFonts w:hint="eastAsia"/>
      </w:rPr>
    </w:lvl>
    <w:lvl w:ilvl="5" w:tentative="0">
      <w:start w:val="1"/>
      <w:numFmt w:val="lowerRoman"/>
      <w:lvlText w:val="%1."/>
      <w:lvlJc w:val="right"/>
      <w:pPr>
        <w:ind w:left="2520" w:hanging="420"/>
      </w:pPr>
      <w:rPr>
        <w:rFonts w:hint="eastAsia"/>
      </w:rPr>
    </w:lvl>
    <w:lvl w:ilvl="6" w:tentative="0">
      <w:start w:val="1"/>
      <w:numFmt w:val="decimal"/>
      <w:lvlText w:val="%1."/>
      <w:lvlJc w:val="left"/>
      <w:pPr>
        <w:ind w:left="2940" w:hanging="420"/>
      </w:pPr>
      <w:rPr>
        <w:rFonts w:hint="eastAsia"/>
      </w:rPr>
    </w:lvl>
    <w:lvl w:ilvl="7" w:tentative="0">
      <w:start w:val="1"/>
      <w:numFmt w:val="lowerLetter"/>
      <w:lvlText w:val="%1)"/>
      <w:lvlJc w:val="left"/>
      <w:pPr>
        <w:ind w:left="3360" w:hanging="420"/>
      </w:pPr>
      <w:rPr>
        <w:rFonts w:hint="eastAsia"/>
      </w:rPr>
    </w:lvl>
    <w:lvl w:ilvl="8" w:tentative="0">
      <w:start w:val="1"/>
      <w:numFmt w:val="lowerRoman"/>
      <w:lvlText w:val="%1."/>
      <w:lvlJc w:val="right"/>
      <w:pPr>
        <w:ind w:left="3780" w:hanging="420"/>
      </w:pPr>
      <w:rPr>
        <w:rFonts w:hint="eastAsia"/>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7"/>
  </w:num>
  <w:num w:numId="3">
    <w:abstractNumId w:val="16"/>
  </w:num>
  <w:num w:numId="4">
    <w:abstractNumId w:val="3"/>
  </w:num>
  <w:num w:numId="5">
    <w:abstractNumId w:val="18"/>
  </w:num>
  <w:num w:numId="6">
    <w:abstractNumId w:val="4"/>
  </w:num>
  <w:num w:numId="7">
    <w:abstractNumId w:val="11"/>
  </w:num>
  <w:num w:numId="8">
    <w:abstractNumId w:val="14"/>
  </w:num>
  <w:num w:numId="9">
    <w:abstractNumId w:val="0"/>
  </w:num>
  <w:num w:numId="10">
    <w:abstractNumId w:val="8"/>
  </w:num>
  <w:num w:numId="11">
    <w:abstractNumId w:val="2"/>
  </w:num>
  <w:num w:numId="12">
    <w:abstractNumId w:val="10"/>
  </w:num>
  <w:num w:numId="13">
    <w:abstractNumId w:val="1"/>
  </w:num>
  <w:num w:numId="14">
    <w:abstractNumId w:val="15"/>
  </w:num>
  <w:num w:numId="15">
    <w:abstractNumId w:val="5"/>
  </w:num>
  <w:num w:numId="16">
    <w:abstractNumId w:val="13"/>
  </w:num>
  <w:num w:numId="17">
    <w:abstractNumId w:val="12"/>
  </w:num>
  <w:num w:numId="18">
    <w:abstractNumId w:val="6"/>
  </w:num>
  <w:num w:numId="19">
    <w:abstractNumId w:val="7"/>
  </w:num>
  <w:num w:numId="20">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jJhNjJiODI0ZmMxYjk3YmM0Y2Y3OGI1NDBkMWUyYTMifQ=="/>
  </w:docVars>
  <w:rsids>
    <w:rsidRoot w:val="00DB489A"/>
    <w:rsid w:val="00001229"/>
    <w:rsid w:val="00001ED6"/>
    <w:rsid w:val="00003C4B"/>
    <w:rsid w:val="000055E6"/>
    <w:rsid w:val="00011CD3"/>
    <w:rsid w:val="00013225"/>
    <w:rsid w:val="00013708"/>
    <w:rsid w:val="0001392C"/>
    <w:rsid w:val="0002096A"/>
    <w:rsid w:val="000225B5"/>
    <w:rsid w:val="00023C21"/>
    <w:rsid w:val="0002563F"/>
    <w:rsid w:val="00033770"/>
    <w:rsid w:val="00034416"/>
    <w:rsid w:val="00042138"/>
    <w:rsid w:val="00050543"/>
    <w:rsid w:val="0006105E"/>
    <w:rsid w:val="00064152"/>
    <w:rsid w:val="00064B31"/>
    <w:rsid w:val="00066368"/>
    <w:rsid w:val="00066643"/>
    <w:rsid w:val="00084584"/>
    <w:rsid w:val="00091254"/>
    <w:rsid w:val="0009383E"/>
    <w:rsid w:val="00095CBD"/>
    <w:rsid w:val="000974D1"/>
    <w:rsid w:val="000A5666"/>
    <w:rsid w:val="000B1C3F"/>
    <w:rsid w:val="000B1F23"/>
    <w:rsid w:val="000B270B"/>
    <w:rsid w:val="000B32E4"/>
    <w:rsid w:val="000B62B6"/>
    <w:rsid w:val="000B73E5"/>
    <w:rsid w:val="000C0CDE"/>
    <w:rsid w:val="000C5243"/>
    <w:rsid w:val="000D09EC"/>
    <w:rsid w:val="000D1FC8"/>
    <w:rsid w:val="000E2917"/>
    <w:rsid w:val="000E3039"/>
    <w:rsid w:val="000E653A"/>
    <w:rsid w:val="000E687B"/>
    <w:rsid w:val="000E7446"/>
    <w:rsid w:val="000F1E19"/>
    <w:rsid w:val="000F4151"/>
    <w:rsid w:val="001010A5"/>
    <w:rsid w:val="001127D6"/>
    <w:rsid w:val="0011535E"/>
    <w:rsid w:val="00120550"/>
    <w:rsid w:val="0012657E"/>
    <w:rsid w:val="001265B4"/>
    <w:rsid w:val="0013012A"/>
    <w:rsid w:val="00131B3F"/>
    <w:rsid w:val="00131CA2"/>
    <w:rsid w:val="00132AA3"/>
    <w:rsid w:val="00136BBB"/>
    <w:rsid w:val="00142885"/>
    <w:rsid w:val="00146665"/>
    <w:rsid w:val="001534D9"/>
    <w:rsid w:val="00155547"/>
    <w:rsid w:val="00170EE5"/>
    <w:rsid w:val="00180A9B"/>
    <w:rsid w:val="0018103C"/>
    <w:rsid w:val="00187E50"/>
    <w:rsid w:val="001906AA"/>
    <w:rsid w:val="001911C9"/>
    <w:rsid w:val="0019322B"/>
    <w:rsid w:val="00195DAA"/>
    <w:rsid w:val="001A2ECC"/>
    <w:rsid w:val="001A37E5"/>
    <w:rsid w:val="001A5A82"/>
    <w:rsid w:val="001A69F5"/>
    <w:rsid w:val="001B2959"/>
    <w:rsid w:val="001B6B36"/>
    <w:rsid w:val="001C0456"/>
    <w:rsid w:val="001C1CB1"/>
    <w:rsid w:val="001C2E6C"/>
    <w:rsid w:val="001C3A1C"/>
    <w:rsid w:val="001C780D"/>
    <w:rsid w:val="001D0556"/>
    <w:rsid w:val="001E039F"/>
    <w:rsid w:val="001E4DAC"/>
    <w:rsid w:val="001E5963"/>
    <w:rsid w:val="001E5EE3"/>
    <w:rsid w:val="001E6264"/>
    <w:rsid w:val="001F15F2"/>
    <w:rsid w:val="001F4F94"/>
    <w:rsid w:val="001F6D81"/>
    <w:rsid w:val="001F6EA0"/>
    <w:rsid w:val="0020449A"/>
    <w:rsid w:val="00207F9D"/>
    <w:rsid w:val="00210596"/>
    <w:rsid w:val="00211861"/>
    <w:rsid w:val="00220584"/>
    <w:rsid w:val="00221AEA"/>
    <w:rsid w:val="00223C11"/>
    <w:rsid w:val="0022490E"/>
    <w:rsid w:val="00225F83"/>
    <w:rsid w:val="00226520"/>
    <w:rsid w:val="00226782"/>
    <w:rsid w:val="00230123"/>
    <w:rsid w:val="00240AEC"/>
    <w:rsid w:val="00246DA8"/>
    <w:rsid w:val="00247361"/>
    <w:rsid w:val="00252330"/>
    <w:rsid w:val="002526EA"/>
    <w:rsid w:val="00253C04"/>
    <w:rsid w:val="002562C5"/>
    <w:rsid w:val="00260B05"/>
    <w:rsid w:val="00274CC0"/>
    <w:rsid w:val="00277410"/>
    <w:rsid w:val="00277E45"/>
    <w:rsid w:val="00291159"/>
    <w:rsid w:val="00292EAB"/>
    <w:rsid w:val="0029715B"/>
    <w:rsid w:val="002973C1"/>
    <w:rsid w:val="002A057C"/>
    <w:rsid w:val="002A073B"/>
    <w:rsid w:val="002A196E"/>
    <w:rsid w:val="002A2B75"/>
    <w:rsid w:val="002A2F88"/>
    <w:rsid w:val="002B354A"/>
    <w:rsid w:val="002B5D1D"/>
    <w:rsid w:val="002C05D7"/>
    <w:rsid w:val="002C3BFD"/>
    <w:rsid w:val="002C4165"/>
    <w:rsid w:val="002D5BD7"/>
    <w:rsid w:val="002E0860"/>
    <w:rsid w:val="002F29DC"/>
    <w:rsid w:val="002F39C9"/>
    <w:rsid w:val="002F65CB"/>
    <w:rsid w:val="002F779B"/>
    <w:rsid w:val="002F7A64"/>
    <w:rsid w:val="00301138"/>
    <w:rsid w:val="003036F5"/>
    <w:rsid w:val="0030653E"/>
    <w:rsid w:val="00310B27"/>
    <w:rsid w:val="003154AD"/>
    <w:rsid w:val="00317035"/>
    <w:rsid w:val="003176F0"/>
    <w:rsid w:val="00321EAE"/>
    <w:rsid w:val="00322936"/>
    <w:rsid w:val="00324997"/>
    <w:rsid w:val="003379CC"/>
    <w:rsid w:val="00337A4C"/>
    <w:rsid w:val="00343C08"/>
    <w:rsid w:val="00353626"/>
    <w:rsid w:val="003572C5"/>
    <w:rsid w:val="00365878"/>
    <w:rsid w:val="003731B9"/>
    <w:rsid w:val="003736B1"/>
    <w:rsid w:val="003743B6"/>
    <w:rsid w:val="003754B9"/>
    <w:rsid w:val="00375F4E"/>
    <w:rsid w:val="00377CFD"/>
    <w:rsid w:val="00382A60"/>
    <w:rsid w:val="003831FC"/>
    <w:rsid w:val="003852EA"/>
    <w:rsid w:val="00390EF5"/>
    <w:rsid w:val="00391B8D"/>
    <w:rsid w:val="0039277C"/>
    <w:rsid w:val="00394A8C"/>
    <w:rsid w:val="003A2202"/>
    <w:rsid w:val="003A308B"/>
    <w:rsid w:val="003A7865"/>
    <w:rsid w:val="003B0021"/>
    <w:rsid w:val="003B05DC"/>
    <w:rsid w:val="003B6CAA"/>
    <w:rsid w:val="003B7FE8"/>
    <w:rsid w:val="003C39B0"/>
    <w:rsid w:val="003C4A2F"/>
    <w:rsid w:val="003D2563"/>
    <w:rsid w:val="003D570A"/>
    <w:rsid w:val="003D5AC5"/>
    <w:rsid w:val="003E1C86"/>
    <w:rsid w:val="003E23C8"/>
    <w:rsid w:val="003E3DCC"/>
    <w:rsid w:val="003E5A81"/>
    <w:rsid w:val="003E6D9E"/>
    <w:rsid w:val="003F2709"/>
    <w:rsid w:val="00400260"/>
    <w:rsid w:val="00403F8E"/>
    <w:rsid w:val="00406666"/>
    <w:rsid w:val="004111B8"/>
    <w:rsid w:val="004156CB"/>
    <w:rsid w:val="0041792F"/>
    <w:rsid w:val="0042405C"/>
    <w:rsid w:val="00425B85"/>
    <w:rsid w:val="0042787F"/>
    <w:rsid w:val="0043057F"/>
    <w:rsid w:val="00430B74"/>
    <w:rsid w:val="00431C14"/>
    <w:rsid w:val="0043419B"/>
    <w:rsid w:val="00434B86"/>
    <w:rsid w:val="00436976"/>
    <w:rsid w:val="00437565"/>
    <w:rsid w:val="004440D2"/>
    <w:rsid w:val="0045283B"/>
    <w:rsid w:val="00453A4F"/>
    <w:rsid w:val="004578E9"/>
    <w:rsid w:val="00470328"/>
    <w:rsid w:val="00471752"/>
    <w:rsid w:val="004735E5"/>
    <w:rsid w:val="00481370"/>
    <w:rsid w:val="0048476E"/>
    <w:rsid w:val="004870C0"/>
    <w:rsid w:val="0049036D"/>
    <w:rsid w:val="00495913"/>
    <w:rsid w:val="004C123D"/>
    <w:rsid w:val="004C1E19"/>
    <w:rsid w:val="004C2BA8"/>
    <w:rsid w:val="004C3791"/>
    <w:rsid w:val="004C591A"/>
    <w:rsid w:val="004D2097"/>
    <w:rsid w:val="004D6173"/>
    <w:rsid w:val="004D6ED9"/>
    <w:rsid w:val="004D7D07"/>
    <w:rsid w:val="004E04F0"/>
    <w:rsid w:val="004E0963"/>
    <w:rsid w:val="004E1E59"/>
    <w:rsid w:val="004E65C6"/>
    <w:rsid w:val="004E67C1"/>
    <w:rsid w:val="004E7F31"/>
    <w:rsid w:val="004F600E"/>
    <w:rsid w:val="0050332C"/>
    <w:rsid w:val="00504D48"/>
    <w:rsid w:val="00505541"/>
    <w:rsid w:val="00505719"/>
    <w:rsid w:val="00510246"/>
    <w:rsid w:val="00512CFB"/>
    <w:rsid w:val="005138AE"/>
    <w:rsid w:val="00514D9E"/>
    <w:rsid w:val="0051524C"/>
    <w:rsid w:val="00516879"/>
    <w:rsid w:val="0052518E"/>
    <w:rsid w:val="00527551"/>
    <w:rsid w:val="00532070"/>
    <w:rsid w:val="00533735"/>
    <w:rsid w:val="00534795"/>
    <w:rsid w:val="00545784"/>
    <w:rsid w:val="005601AE"/>
    <w:rsid w:val="00560D6E"/>
    <w:rsid w:val="0056735A"/>
    <w:rsid w:val="00572B1A"/>
    <w:rsid w:val="00575EFF"/>
    <w:rsid w:val="005830BF"/>
    <w:rsid w:val="005862AC"/>
    <w:rsid w:val="0059023B"/>
    <w:rsid w:val="005905FF"/>
    <w:rsid w:val="005914F7"/>
    <w:rsid w:val="00591E0B"/>
    <w:rsid w:val="005A01C3"/>
    <w:rsid w:val="005A0EB5"/>
    <w:rsid w:val="005A2E25"/>
    <w:rsid w:val="005B30FF"/>
    <w:rsid w:val="005B5811"/>
    <w:rsid w:val="005C1A91"/>
    <w:rsid w:val="005C5171"/>
    <w:rsid w:val="005D0472"/>
    <w:rsid w:val="005D75AE"/>
    <w:rsid w:val="005D7F38"/>
    <w:rsid w:val="005F300F"/>
    <w:rsid w:val="005F435D"/>
    <w:rsid w:val="005F702A"/>
    <w:rsid w:val="006009DC"/>
    <w:rsid w:val="006017AB"/>
    <w:rsid w:val="00601AE5"/>
    <w:rsid w:val="00603F6F"/>
    <w:rsid w:val="006122D3"/>
    <w:rsid w:val="00612F27"/>
    <w:rsid w:val="006222EC"/>
    <w:rsid w:val="00623DDA"/>
    <w:rsid w:val="0062554F"/>
    <w:rsid w:val="00631CA6"/>
    <w:rsid w:val="0063599B"/>
    <w:rsid w:val="00637FDF"/>
    <w:rsid w:val="00641F45"/>
    <w:rsid w:val="00644F55"/>
    <w:rsid w:val="006518FC"/>
    <w:rsid w:val="006650ED"/>
    <w:rsid w:val="0067065B"/>
    <w:rsid w:val="006735A5"/>
    <w:rsid w:val="00677006"/>
    <w:rsid w:val="00677F4A"/>
    <w:rsid w:val="006803FC"/>
    <w:rsid w:val="00680DCD"/>
    <w:rsid w:val="006818E3"/>
    <w:rsid w:val="006845DD"/>
    <w:rsid w:val="0068464A"/>
    <w:rsid w:val="00690437"/>
    <w:rsid w:val="0069224F"/>
    <w:rsid w:val="0069335B"/>
    <w:rsid w:val="006A03F1"/>
    <w:rsid w:val="006B27A2"/>
    <w:rsid w:val="006B428C"/>
    <w:rsid w:val="006B66F4"/>
    <w:rsid w:val="006C2D28"/>
    <w:rsid w:val="006D5C58"/>
    <w:rsid w:val="006D68C7"/>
    <w:rsid w:val="006E0E59"/>
    <w:rsid w:val="006E56AF"/>
    <w:rsid w:val="006E5C2C"/>
    <w:rsid w:val="006E5D37"/>
    <w:rsid w:val="006F04C5"/>
    <w:rsid w:val="006F3A8B"/>
    <w:rsid w:val="006F496C"/>
    <w:rsid w:val="006F5F61"/>
    <w:rsid w:val="006F6566"/>
    <w:rsid w:val="00702E5D"/>
    <w:rsid w:val="007033B7"/>
    <w:rsid w:val="00703CFA"/>
    <w:rsid w:val="00710A8F"/>
    <w:rsid w:val="00710E60"/>
    <w:rsid w:val="007120DA"/>
    <w:rsid w:val="00713AC3"/>
    <w:rsid w:val="0071531E"/>
    <w:rsid w:val="00716434"/>
    <w:rsid w:val="00717360"/>
    <w:rsid w:val="00720274"/>
    <w:rsid w:val="00724313"/>
    <w:rsid w:val="00724729"/>
    <w:rsid w:val="007321BF"/>
    <w:rsid w:val="0073453C"/>
    <w:rsid w:val="00743586"/>
    <w:rsid w:val="007456AC"/>
    <w:rsid w:val="0074710D"/>
    <w:rsid w:val="00753883"/>
    <w:rsid w:val="00754CDD"/>
    <w:rsid w:val="00756601"/>
    <w:rsid w:val="00763E60"/>
    <w:rsid w:val="007774E4"/>
    <w:rsid w:val="00782C66"/>
    <w:rsid w:val="0079343F"/>
    <w:rsid w:val="00793C37"/>
    <w:rsid w:val="007974F0"/>
    <w:rsid w:val="007A16A8"/>
    <w:rsid w:val="007A2DE9"/>
    <w:rsid w:val="007A3344"/>
    <w:rsid w:val="007A5CEC"/>
    <w:rsid w:val="007B1BA5"/>
    <w:rsid w:val="007C566B"/>
    <w:rsid w:val="007C7F49"/>
    <w:rsid w:val="007D5122"/>
    <w:rsid w:val="007D5D66"/>
    <w:rsid w:val="007E0D75"/>
    <w:rsid w:val="007E300E"/>
    <w:rsid w:val="007E3E51"/>
    <w:rsid w:val="007F63FB"/>
    <w:rsid w:val="00801263"/>
    <w:rsid w:val="0080221F"/>
    <w:rsid w:val="008031E1"/>
    <w:rsid w:val="0081505B"/>
    <w:rsid w:val="008174C0"/>
    <w:rsid w:val="00817BF6"/>
    <w:rsid w:val="00822948"/>
    <w:rsid w:val="00824157"/>
    <w:rsid w:val="00830914"/>
    <w:rsid w:val="0083114F"/>
    <w:rsid w:val="008411B5"/>
    <w:rsid w:val="00841A4F"/>
    <w:rsid w:val="00842823"/>
    <w:rsid w:val="0084459B"/>
    <w:rsid w:val="00845A82"/>
    <w:rsid w:val="00846218"/>
    <w:rsid w:val="008476CD"/>
    <w:rsid w:val="00847E76"/>
    <w:rsid w:val="008504C4"/>
    <w:rsid w:val="00850A15"/>
    <w:rsid w:val="00851001"/>
    <w:rsid w:val="00852B0D"/>
    <w:rsid w:val="00861CBE"/>
    <w:rsid w:val="00862935"/>
    <w:rsid w:val="00862A80"/>
    <w:rsid w:val="008630F5"/>
    <w:rsid w:val="0086538C"/>
    <w:rsid w:val="00865816"/>
    <w:rsid w:val="008720BA"/>
    <w:rsid w:val="00884E23"/>
    <w:rsid w:val="008861F6"/>
    <w:rsid w:val="00886F76"/>
    <w:rsid w:val="00890D84"/>
    <w:rsid w:val="008A1C78"/>
    <w:rsid w:val="008A238E"/>
    <w:rsid w:val="008A704A"/>
    <w:rsid w:val="008B1196"/>
    <w:rsid w:val="008B6627"/>
    <w:rsid w:val="008B7F33"/>
    <w:rsid w:val="008C04E2"/>
    <w:rsid w:val="008C4B71"/>
    <w:rsid w:val="008C6849"/>
    <w:rsid w:val="008D1EE5"/>
    <w:rsid w:val="008D3B84"/>
    <w:rsid w:val="008E0D47"/>
    <w:rsid w:val="008E1C22"/>
    <w:rsid w:val="008F2268"/>
    <w:rsid w:val="008F28A4"/>
    <w:rsid w:val="008F2BF3"/>
    <w:rsid w:val="00901B7B"/>
    <w:rsid w:val="009024FF"/>
    <w:rsid w:val="00902D11"/>
    <w:rsid w:val="00904537"/>
    <w:rsid w:val="00904E60"/>
    <w:rsid w:val="00911E96"/>
    <w:rsid w:val="00914B42"/>
    <w:rsid w:val="00924BCD"/>
    <w:rsid w:val="00934F75"/>
    <w:rsid w:val="00935031"/>
    <w:rsid w:val="00943C04"/>
    <w:rsid w:val="009552AC"/>
    <w:rsid w:val="00960320"/>
    <w:rsid w:val="009603A1"/>
    <w:rsid w:val="00960625"/>
    <w:rsid w:val="00963CAF"/>
    <w:rsid w:val="0096578E"/>
    <w:rsid w:val="00965B34"/>
    <w:rsid w:val="009662CB"/>
    <w:rsid w:val="009703A9"/>
    <w:rsid w:val="00970671"/>
    <w:rsid w:val="00971AC6"/>
    <w:rsid w:val="00974111"/>
    <w:rsid w:val="009757FA"/>
    <w:rsid w:val="00986B87"/>
    <w:rsid w:val="00990C66"/>
    <w:rsid w:val="009A0CD5"/>
    <w:rsid w:val="009A1FFC"/>
    <w:rsid w:val="009A34FF"/>
    <w:rsid w:val="009A6DE0"/>
    <w:rsid w:val="009A73B1"/>
    <w:rsid w:val="009A7507"/>
    <w:rsid w:val="009C533A"/>
    <w:rsid w:val="009D1308"/>
    <w:rsid w:val="009D16D7"/>
    <w:rsid w:val="009D5EFC"/>
    <w:rsid w:val="009E2E8F"/>
    <w:rsid w:val="009F0CE6"/>
    <w:rsid w:val="00A1454B"/>
    <w:rsid w:val="00A157F7"/>
    <w:rsid w:val="00A1677B"/>
    <w:rsid w:val="00A2096D"/>
    <w:rsid w:val="00A2252D"/>
    <w:rsid w:val="00A22556"/>
    <w:rsid w:val="00A22BEC"/>
    <w:rsid w:val="00A2552F"/>
    <w:rsid w:val="00A309CF"/>
    <w:rsid w:val="00A34B89"/>
    <w:rsid w:val="00A41AE8"/>
    <w:rsid w:val="00A46A70"/>
    <w:rsid w:val="00A47A5E"/>
    <w:rsid w:val="00A53610"/>
    <w:rsid w:val="00A5542F"/>
    <w:rsid w:val="00A6760D"/>
    <w:rsid w:val="00A72C3B"/>
    <w:rsid w:val="00A756FC"/>
    <w:rsid w:val="00A841DE"/>
    <w:rsid w:val="00A8451E"/>
    <w:rsid w:val="00A93436"/>
    <w:rsid w:val="00A9489F"/>
    <w:rsid w:val="00A97E81"/>
    <w:rsid w:val="00AA4D0D"/>
    <w:rsid w:val="00AA55DE"/>
    <w:rsid w:val="00AA66E2"/>
    <w:rsid w:val="00AB4D51"/>
    <w:rsid w:val="00AB57BC"/>
    <w:rsid w:val="00AB60B3"/>
    <w:rsid w:val="00AC2F87"/>
    <w:rsid w:val="00AD0E81"/>
    <w:rsid w:val="00AD27C6"/>
    <w:rsid w:val="00AD6684"/>
    <w:rsid w:val="00AE150A"/>
    <w:rsid w:val="00AE56DA"/>
    <w:rsid w:val="00AE76E0"/>
    <w:rsid w:val="00AF3A47"/>
    <w:rsid w:val="00AF47F6"/>
    <w:rsid w:val="00B05822"/>
    <w:rsid w:val="00B0671E"/>
    <w:rsid w:val="00B10560"/>
    <w:rsid w:val="00B10ACD"/>
    <w:rsid w:val="00B17A04"/>
    <w:rsid w:val="00B20B2F"/>
    <w:rsid w:val="00B263E9"/>
    <w:rsid w:val="00B32147"/>
    <w:rsid w:val="00B37B7E"/>
    <w:rsid w:val="00B40DC3"/>
    <w:rsid w:val="00B44C0C"/>
    <w:rsid w:val="00B47703"/>
    <w:rsid w:val="00B47D93"/>
    <w:rsid w:val="00B501E6"/>
    <w:rsid w:val="00B52321"/>
    <w:rsid w:val="00B537B3"/>
    <w:rsid w:val="00B60806"/>
    <w:rsid w:val="00B67B6D"/>
    <w:rsid w:val="00B714EC"/>
    <w:rsid w:val="00B75784"/>
    <w:rsid w:val="00B757A8"/>
    <w:rsid w:val="00B80ACC"/>
    <w:rsid w:val="00B8163F"/>
    <w:rsid w:val="00B878DF"/>
    <w:rsid w:val="00B9633A"/>
    <w:rsid w:val="00B965ED"/>
    <w:rsid w:val="00BA3074"/>
    <w:rsid w:val="00BA7C59"/>
    <w:rsid w:val="00BB11C7"/>
    <w:rsid w:val="00BB15BE"/>
    <w:rsid w:val="00BB17DF"/>
    <w:rsid w:val="00BB7DA5"/>
    <w:rsid w:val="00BC32BF"/>
    <w:rsid w:val="00BC3C20"/>
    <w:rsid w:val="00BD0A2F"/>
    <w:rsid w:val="00BD13D0"/>
    <w:rsid w:val="00BD350D"/>
    <w:rsid w:val="00BD430C"/>
    <w:rsid w:val="00BF37E1"/>
    <w:rsid w:val="00BF467F"/>
    <w:rsid w:val="00BF6CE8"/>
    <w:rsid w:val="00C01EAD"/>
    <w:rsid w:val="00C02862"/>
    <w:rsid w:val="00C0427A"/>
    <w:rsid w:val="00C05FE3"/>
    <w:rsid w:val="00C06CC9"/>
    <w:rsid w:val="00C12D3F"/>
    <w:rsid w:val="00C1304B"/>
    <w:rsid w:val="00C16889"/>
    <w:rsid w:val="00C174E6"/>
    <w:rsid w:val="00C22E60"/>
    <w:rsid w:val="00C304DD"/>
    <w:rsid w:val="00C3588B"/>
    <w:rsid w:val="00C363E2"/>
    <w:rsid w:val="00C450B7"/>
    <w:rsid w:val="00C51E41"/>
    <w:rsid w:val="00C53443"/>
    <w:rsid w:val="00C54D73"/>
    <w:rsid w:val="00C6100F"/>
    <w:rsid w:val="00C630CF"/>
    <w:rsid w:val="00C707B5"/>
    <w:rsid w:val="00C73E04"/>
    <w:rsid w:val="00C74FDC"/>
    <w:rsid w:val="00C758C0"/>
    <w:rsid w:val="00C86E15"/>
    <w:rsid w:val="00C93925"/>
    <w:rsid w:val="00CA68AC"/>
    <w:rsid w:val="00CB23EA"/>
    <w:rsid w:val="00CB64B5"/>
    <w:rsid w:val="00CB6A62"/>
    <w:rsid w:val="00CD1287"/>
    <w:rsid w:val="00CD5D69"/>
    <w:rsid w:val="00CE0DFF"/>
    <w:rsid w:val="00CE647D"/>
    <w:rsid w:val="00CF5644"/>
    <w:rsid w:val="00CF6DA3"/>
    <w:rsid w:val="00D02047"/>
    <w:rsid w:val="00D065E9"/>
    <w:rsid w:val="00D134C5"/>
    <w:rsid w:val="00D15957"/>
    <w:rsid w:val="00D20CD0"/>
    <w:rsid w:val="00D21390"/>
    <w:rsid w:val="00D30370"/>
    <w:rsid w:val="00D32D96"/>
    <w:rsid w:val="00D4065C"/>
    <w:rsid w:val="00D422B6"/>
    <w:rsid w:val="00D43760"/>
    <w:rsid w:val="00D569A0"/>
    <w:rsid w:val="00D603CA"/>
    <w:rsid w:val="00D63AA7"/>
    <w:rsid w:val="00D7013F"/>
    <w:rsid w:val="00D74B82"/>
    <w:rsid w:val="00D759D9"/>
    <w:rsid w:val="00D8016F"/>
    <w:rsid w:val="00D84F1B"/>
    <w:rsid w:val="00D91AB6"/>
    <w:rsid w:val="00D96479"/>
    <w:rsid w:val="00DA0F97"/>
    <w:rsid w:val="00DA6080"/>
    <w:rsid w:val="00DA6FC6"/>
    <w:rsid w:val="00DA715B"/>
    <w:rsid w:val="00DA7448"/>
    <w:rsid w:val="00DB0585"/>
    <w:rsid w:val="00DB0ED7"/>
    <w:rsid w:val="00DB1C8F"/>
    <w:rsid w:val="00DB251D"/>
    <w:rsid w:val="00DB489A"/>
    <w:rsid w:val="00DB584C"/>
    <w:rsid w:val="00DB7510"/>
    <w:rsid w:val="00DC1A57"/>
    <w:rsid w:val="00DC3690"/>
    <w:rsid w:val="00DC6AF4"/>
    <w:rsid w:val="00DC7EF6"/>
    <w:rsid w:val="00DD0813"/>
    <w:rsid w:val="00DD0B78"/>
    <w:rsid w:val="00DD0D16"/>
    <w:rsid w:val="00DE195E"/>
    <w:rsid w:val="00DE2B27"/>
    <w:rsid w:val="00DE408A"/>
    <w:rsid w:val="00E01B53"/>
    <w:rsid w:val="00E114CB"/>
    <w:rsid w:val="00E21178"/>
    <w:rsid w:val="00E22992"/>
    <w:rsid w:val="00E256B0"/>
    <w:rsid w:val="00E271B7"/>
    <w:rsid w:val="00E30679"/>
    <w:rsid w:val="00E3487D"/>
    <w:rsid w:val="00E35AA9"/>
    <w:rsid w:val="00E46828"/>
    <w:rsid w:val="00E519A2"/>
    <w:rsid w:val="00E543A8"/>
    <w:rsid w:val="00E56306"/>
    <w:rsid w:val="00E57B0F"/>
    <w:rsid w:val="00E57E8A"/>
    <w:rsid w:val="00E60EBD"/>
    <w:rsid w:val="00E645F8"/>
    <w:rsid w:val="00E662F3"/>
    <w:rsid w:val="00E66FA8"/>
    <w:rsid w:val="00E73B54"/>
    <w:rsid w:val="00E77471"/>
    <w:rsid w:val="00E84E49"/>
    <w:rsid w:val="00E86A75"/>
    <w:rsid w:val="00E8754D"/>
    <w:rsid w:val="00E90C1F"/>
    <w:rsid w:val="00E924E2"/>
    <w:rsid w:val="00E950C2"/>
    <w:rsid w:val="00E956C3"/>
    <w:rsid w:val="00EA73ED"/>
    <w:rsid w:val="00EB17EE"/>
    <w:rsid w:val="00EB4235"/>
    <w:rsid w:val="00EC4F40"/>
    <w:rsid w:val="00ED78EB"/>
    <w:rsid w:val="00EE073A"/>
    <w:rsid w:val="00EE12CB"/>
    <w:rsid w:val="00EE2554"/>
    <w:rsid w:val="00EE7DC1"/>
    <w:rsid w:val="00EF1124"/>
    <w:rsid w:val="00F00A7D"/>
    <w:rsid w:val="00F025EA"/>
    <w:rsid w:val="00F0285C"/>
    <w:rsid w:val="00F063AA"/>
    <w:rsid w:val="00F12F9F"/>
    <w:rsid w:val="00F21BDA"/>
    <w:rsid w:val="00F27BDB"/>
    <w:rsid w:val="00F3012C"/>
    <w:rsid w:val="00F309C1"/>
    <w:rsid w:val="00F36A08"/>
    <w:rsid w:val="00F470CB"/>
    <w:rsid w:val="00F50139"/>
    <w:rsid w:val="00F5032E"/>
    <w:rsid w:val="00F52814"/>
    <w:rsid w:val="00F602C2"/>
    <w:rsid w:val="00F6078C"/>
    <w:rsid w:val="00F753BA"/>
    <w:rsid w:val="00F75D80"/>
    <w:rsid w:val="00F77EAF"/>
    <w:rsid w:val="00F85D72"/>
    <w:rsid w:val="00F86370"/>
    <w:rsid w:val="00F87BF6"/>
    <w:rsid w:val="00F87DBE"/>
    <w:rsid w:val="00F92F99"/>
    <w:rsid w:val="00FA121F"/>
    <w:rsid w:val="00FA35DE"/>
    <w:rsid w:val="00FA3803"/>
    <w:rsid w:val="00FB527D"/>
    <w:rsid w:val="00FC0D57"/>
    <w:rsid w:val="00FC61F9"/>
    <w:rsid w:val="00FD65BD"/>
    <w:rsid w:val="00FE03BA"/>
    <w:rsid w:val="00FE7529"/>
    <w:rsid w:val="00FF0DB9"/>
    <w:rsid w:val="00FF3CAD"/>
    <w:rsid w:val="00FF40C6"/>
    <w:rsid w:val="00FF7AB1"/>
    <w:rsid w:val="011E777A"/>
    <w:rsid w:val="01475930"/>
    <w:rsid w:val="015C4473"/>
    <w:rsid w:val="01BD35AB"/>
    <w:rsid w:val="01D71174"/>
    <w:rsid w:val="022766A9"/>
    <w:rsid w:val="024C263E"/>
    <w:rsid w:val="02531E27"/>
    <w:rsid w:val="02985DB7"/>
    <w:rsid w:val="02C602A8"/>
    <w:rsid w:val="02CF69B1"/>
    <w:rsid w:val="037E603E"/>
    <w:rsid w:val="03CB7D0A"/>
    <w:rsid w:val="04164081"/>
    <w:rsid w:val="049338D7"/>
    <w:rsid w:val="05145BD8"/>
    <w:rsid w:val="055D0D8E"/>
    <w:rsid w:val="05E84CA4"/>
    <w:rsid w:val="05F2028D"/>
    <w:rsid w:val="05FF1DAE"/>
    <w:rsid w:val="063E20E3"/>
    <w:rsid w:val="063F62DA"/>
    <w:rsid w:val="066E2587"/>
    <w:rsid w:val="069A266D"/>
    <w:rsid w:val="06AA6409"/>
    <w:rsid w:val="07014810"/>
    <w:rsid w:val="0733461A"/>
    <w:rsid w:val="07C1191B"/>
    <w:rsid w:val="07DA7F0D"/>
    <w:rsid w:val="08033923"/>
    <w:rsid w:val="08123F24"/>
    <w:rsid w:val="081F1F8D"/>
    <w:rsid w:val="082A0972"/>
    <w:rsid w:val="084A19AA"/>
    <w:rsid w:val="088B6AD7"/>
    <w:rsid w:val="08E22CC1"/>
    <w:rsid w:val="08F627C3"/>
    <w:rsid w:val="09895EE3"/>
    <w:rsid w:val="09977F89"/>
    <w:rsid w:val="09A15D2F"/>
    <w:rsid w:val="09F2037E"/>
    <w:rsid w:val="0A155BB4"/>
    <w:rsid w:val="0A1D791A"/>
    <w:rsid w:val="0A53088D"/>
    <w:rsid w:val="0B062F42"/>
    <w:rsid w:val="0B0653F7"/>
    <w:rsid w:val="0B446A99"/>
    <w:rsid w:val="0BB927D0"/>
    <w:rsid w:val="0C2F6CB1"/>
    <w:rsid w:val="0C49267E"/>
    <w:rsid w:val="0CD14217"/>
    <w:rsid w:val="0D776204"/>
    <w:rsid w:val="0D8862D3"/>
    <w:rsid w:val="0D933AC8"/>
    <w:rsid w:val="0D945EE0"/>
    <w:rsid w:val="0D9A51F4"/>
    <w:rsid w:val="0DA5787D"/>
    <w:rsid w:val="0DC64B7C"/>
    <w:rsid w:val="0DEF595D"/>
    <w:rsid w:val="0DF2282E"/>
    <w:rsid w:val="0DF26BF3"/>
    <w:rsid w:val="0E801780"/>
    <w:rsid w:val="0EF71212"/>
    <w:rsid w:val="0F125B2D"/>
    <w:rsid w:val="0FB35025"/>
    <w:rsid w:val="0FBD0D96"/>
    <w:rsid w:val="0FC562C3"/>
    <w:rsid w:val="0FDC5544"/>
    <w:rsid w:val="0FE31AF2"/>
    <w:rsid w:val="0FF65EBC"/>
    <w:rsid w:val="101914A3"/>
    <w:rsid w:val="10825588"/>
    <w:rsid w:val="11453A98"/>
    <w:rsid w:val="116D107E"/>
    <w:rsid w:val="11755C50"/>
    <w:rsid w:val="11A021F8"/>
    <w:rsid w:val="11BE156C"/>
    <w:rsid w:val="11D212FE"/>
    <w:rsid w:val="11E708F3"/>
    <w:rsid w:val="11F70905"/>
    <w:rsid w:val="120F5E78"/>
    <w:rsid w:val="12491018"/>
    <w:rsid w:val="12932288"/>
    <w:rsid w:val="13376C81"/>
    <w:rsid w:val="133B638F"/>
    <w:rsid w:val="139E09AB"/>
    <w:rsid w:val="13A374DF"/>
    <w:rsid w:val="13AA1353"/>
    <w:rsid w:val="13C26D3E"/>
    <w:rsid w:val="13E650F4"/>
    <w:rsid w:val="140F702E"/>
    <w:rsid w:val="14111450"/>
    <w:rsid w:val="14D709D0"/>
    <w:rsid w:val="14F567DB"/>
    <w:rsid w:val="14F65188"/>
    <w:rsid w:val="15396E97"/>
    <w:rsid w:val="156E5995"/>
    <w:rsid w:val="158A3C94"/>
    <w:rsid w:val="159D1877"/>
    <w:rsid w:val="15DC6409"/>
    <w:rsid w:val="15E909BB"/>
    <w:rsid w:val="16261FBD"/>
    <w:rsid w:val="1653677B"/>
    <w:rsid w:val="1665569C"/>
    <w:rsid w:val="1665736E"/>
    <w:rsid w:val="16AE541A"/>
    <w:rsid w:val="16E51F2C"/>
    <w:rsid w:val="16F45869"/>
    <w:rsid w:val="16FC2F2E"/>
    <w:rsid w:val="17041547"/>
    <w:rsid w:val="17D240F5"/>
    <w:rsid w:val="17FA4680"/>
    <w:rsid w:val="1811546F"/>
    <w:rsid w:val="18185587"/>
    <w:rsid w:val="1821365D"/>
    <w:rsid w:val="18720979"/>
    <w:rsid w:val="19053D5D"/>
    <w:rsid w:val="191D4CB5"/>
    <w:rsid w:val="19647819"/>
    <w:rsid w:val="199B523D"/>
    <w:rsid w:val="19A51287"/>
    <w:rsid w:val="19F718E2"/>
    <w:rsid w:val="1A214DBA"/>
    <w:rsid w:val="1A2D652E"/>
    <w:rsid w:val="1AC344D0"/>
    <w:rsid w:val="1AE14356"/>
    <w:rsid w:val="1AF529B5"/>
    <w:rsid w:val="1AF9676E"/>
    <w:rsid w:val="1B0D4C89"/>
    <w:rsid w:val="1B5508A0"/>
    <w:rsid w:val="1B656E0C"/>
    <w:rsid w:val="1B875F82"/>
    <w:rsid w:val="1B8E6E35"/>
    <w:rsid w:val="1C275E4B"/>
    <w:rsid w:val="1C3A300E"/>
    <w:rsid w:val="1C834AA6"/>
    <w:rsid w:val="1D2319B4"/>
    <w:rsid w:val="1D5C7AF8"/>
    <w:rsid w:val="1E023031"/>
    <w:rsid w:val="1E0E7548"/>
    <w:rsid w:val="1E2456E5"/>
    <w:rsid w:val="1EA551C0"/>
    <w:rsid w:val="1EBD551E"/>
    <w:rsid w:val="1ED927EF"/>
    <w:rsid w:val="1EDC27EF"/>
    <w:rsid w:val="1EFB3381"/>
    <w:rsid w:val="1F566913"/>
    <w:rsid w:val="1F8A4CDF"/>
    <w:rsid w:val="1F9B63EB"/>
    <w:rsid w:val="1FC21B8C"/>
    <w:rsid w:val="200F4676"/>
    <w:rsid w:val="20161AB2"/>
    <w:rsid w:val="204D7566"/>
    <w:rsid w:val="204E1006"/>
    <w:rsid w:val="20526073"/>
    <w:rsid w:val="20744DEB"/>
    <w:rsid w:val="207913EC"/>
    <w:rsid w:val="208675A5"/>
    <w:rsid w:val="20EE157B"/>
    <w:rsid w:val="20F7407F"/>
    <w:rsid w:val="211549B5"/>
    <w:rsid w:val="212B7C94"/>
    <w:rsid w:val="21703D3E"/>
    <w:rsid w:val="218B501C"/>
    <w:rsid w:val="220729A3"/>
    <w:rsid w:val="22114E02"/>
    <w:rsid w:val="223907F9"/>
    <w:rsid w:val="22415264"/>
    <w:rsid w:val="226B1089"/>
    <w:rsid w:val="22944D55"/>
    <w:rsid w:val="2332525A"/>
    <w:rsid w:val="237D3DBF"/>
    <w:rsid w:val="2399753C"/>
    <w:rsid w:val="23E32EED"/>
    <w:rsid w:val="23F76D95"/>
    <w:rsid w:val="249C4ADD"/>
    <w:rsid w:val="24D05BE5"/>
    <w:rsid w:val="25202506"/>
    <w:rsid w:val="258B5E98"/>
    <w:rsid w:val="259F64C7"/>
    <w:rsid w:val="25D37172"/>
    <w:rsid w:val="2685793C"/>
    <w:rsid w:val="27052670"/>
    <w:rsid w:val="27F75392"/>
    <w:rsid w:val="28013942"/>
    <w:rsid w:val="28034ED5"/>
    <w:rsid w:val="282F0619"/>
    <w:rsid w:val="28465DDB"/>
    <w:rsid w:val="287A1CEF"/>
    <w:rsid w:val="28BE2459"/>
    <w:rsid w:val="294A78BC"/>
    <w:rsid w:val="2952459C"/>
    <w:rsid w:val="29625E6D"/>
    <w:rsid w:val="29FC28EB"/>
    <w:rsid w:val="2A596B13"/>
    <w:rsid w:val="2A5E660E"/>
    <w:rsid w:val="2A685AC2"/>
    <w:rsid w:val="2AA077A9"/>
    <w:rsid w:val="2B134AD1"/>
    <w:rsid w:val="2BC108A9"/>
    <w:rsid w:val="2BD66E93"/>
    <w:rsid w:val="2BDA1BE3"/>
    <w:rsid w:val="2C273B93"/>
    <w:rsid w:val="2C5D1C85"/>
    <w:rsid w:val="2CCC0E2D"/>
    <w:rsid w:val="2CD772AE"/>
    <w:rsid w:val="2CFE4ECE"/>
    <w:rsid w:val="2D222CFE"/>
    <w:rsid w:val="2D896E36"/>
    <w:rsid w:val="2DED178F"/>
    <w:rsid w:val="2E6102EA"/>
    <w:rsid w:val="2E762311"/>
    <w:rsid w:val="2EC3210B"/>
    <w:rsid w:val="2F366BAF"/>
    <w:rsid w:val="2FD2443E"/>
    <w:rsid w:val="300849DC"/>
    <w:rsid w:val="302A0B85"/>
    <w:rsid w:val="306F53A0"/>
    <w:rsid w:val="30766FE6"/>
    <w:rsid w:val="30797274"/>
    <w:rsid w:val="3088782E"/>
    <w:rsid w:val="30E6765D"/>
    <w:rsid w:val="311178ED"/>
    <w:rsid w:val="311A616D"/>
    <w:rsid w:val="315E32C6"/>
    <w:rsid w:val="31C60B71"/>
    <w:rsid w:val="31E340B8"/>
    <w:rsid w:val="31E67F59"/>
    <w:rsid w:val="31FA5931"/>
    <w:rsid w:val="32195D2C"/>
    <w:rsid w:val="32956148"/>
    <w:rsid w:val="32BA306B"/>
    <w:rsid w:val="32BB2294"/>
    <w:rsid w:val="331A0480"/>
    <w:rsid w:val="33364352"/>
    <w:rsid w:val="336A3FB7"/>
    <w:rsid w:val="33B37295"/>
    <w:rsid w:val="33C8709C"/>
    <w:rsid w:val="340B3DCC"/>
    <w:rsid w:val="34182AA6"/>
    <w:rsid w:val="34755000"/>
    <w:rsid w:val="35016274"/>
    <w:rsid w:val="35835CB0"/>
    <w:rsid w:val="35B17FEC"/>
    <w:rsid w:val="35BF4760"/>
    <w:rsid w:val="35E473E2"/>
    <w:rsid w:val="36D839FB"/>
    <w:rsid w:val="36D8497A"/>
    <w:rsid w:val="36FA4EEB"/>
    <w:rsid w:val="3744085D"/>
    <w:rsid w:val="37736D1E"/>
    <w:rsid w:val="37E53998"/>
    <w:rsid w:val="3813006B"/>
    <w:rsid w:val="38285B52"/>
    <w:rsid w:val="38296382"/>
    <w:rsid w:val="38A05EC7"/>
    <w:rsid w:val="38AF73EA"/>
    <w:rsid w:val="38CC1D03"/>
    <w:rsid w:val="38D174C9"/>
    <w:rsid w:val="38DF50B3"/>
    <w:rsid w:val="395018F6"/>
    <w:rsid w:val="39BE57E6"/>
    <w:rsid w:val="3A104469"/>
    <w:rsid w:val="3A210CE6"/>
    <w:rsid w:val="3A5807D1"/>
    <w:rsid w:val="3A8275B3"/>
    <w:rsid w:val="3AC448FF"/>
    <w:rsid w:val="3B272A8C"/>
    <w:rsid w:val="3B3379F6"/>
    <w:rsid w:val="3B4103CD"/>
    <w:rsid w:val="3B474590"/>
    <w:rsid w:val="3B7304D5"/>
    <w:rsid w:val="3B814510"/>
    <w:rsid w:val="3B822661"/>
    <w:rsid w:val="3BAE7C66"/>
    <w:rsid w:val="3BCD0DCE"/>
    <w:rsid w:val="3CCC06E9"/>
    <w:rsid w:val="3CE5587C"/>
    <w:rsid w:val="3CFE7D2F"/>
    <w:rsid w:val="3D620019"/>
    <w:rsid w:val="3D6759D2"/>
    <w:rsid w:val="3D6F3CD1"/>
    <w:rsid w:val="3D874ACB"/>
    <w:rsid w:val="3DD4070D"/>
    <w:rsid w:val="3DD551FD"/>
    <w:rsid w:val="3E021BD6"/>
    <w:rsid w:val="3E643E6A"/>
    <w:rsid w:val="3E820D6F"/>
    <w:rsid w:val="3E88226F"/>
    <w:rsid w:val="3E9E58CA"/>
    <w:rsid w:val="3F1955BD"/>
    <w:rsid w:val="3F312907"/>
    <w:rsid w:val="40020838"/>
    <w:rsid w:val="40074D14"/>
    <w:rsid w:val="40413E86"/>
    <w:rsid w:val="40782BB5"/>
    <w:rsid w:val="40864196"/>
    <w:rsid w:val="40D35740"/>
    <w:rsid w:val="40DB29AD"/>
    <w:rsid w:val="41286C44"/>
    <w:rsid w:val="41654AEA"/>
    <w:rsid w:val="417D488E"/>
    <w:rsid w:val="417D61FB"/>
    <w:rsid w:val="417E750A"/>
    <w:rsid w:val="41817A57"/>
    <w:rsid w:val="418E3FCE"/>
    <w:rsid w:val="41942815"/>
    <w:rsid w:val="41D03EDA"/>
    <w:rsid w:val="41D626A7"/>
    <w:rsid w:val="424233D5"/>
    <w:rsid w:val="424E7922"/>
    <w:rsid w:val="42A933F4"/>
    <w:rsid w:val="42FE40ED"/>
    <w:rsid w:val="431A01CD"/>
    <w:rsid w:val="43615785"/>
    <w:rsid w:val="438356FB"/>
    <w:rsid w:val="43DB00E0"/>
    <w:rsid w:val="4436451B"/>
    <w:rsid w:val="443A7A13"/>
    <w:rsid w:val="44977AA4"/>
    <w:rsid w:val="44E855C1"/>
    <w:rsid w:val="456F7CFB"/>
    <w:rsid w:val="45F428E0"/>
    <w:rsid w:val="46151CE8"/>
    <w:rsid w:val="4624601B"/>
    <w:rsid w:val="46492AAA"/>
    <w:rsid w:val="464D6A35"/>
    <w:rsid w:val="465E0864"/>
    <w:rsid w:val="4665149E"/>
    <w:rsid w:val="4665733A"/>
    <w:rsid w:val="46C35681"/>
    <w:rsid w:val="46E95941"/>
    <w:rsid w:val="47063A4D"/>
    <w:rsid w:val="47271392"/>
    <w:rsid w:val="47767FBB"/>
    <w:rsid w:val="481B63E2"/>
    <w:rsid w:val="484424D9"/>
    <w:rsid w:val="4847103F"/>
    <w:rsid w:val="48874AA5"/>
    <w:rsid w:val="49050FB9"/>
    <w:rsid w:val="495D4852"/>
    <w:rsid w:val="496930A0"/>
    <w:rsid w:val="49ED77B7"/>
    <w:rsid w:val="4A360328"/>
    <w:rsid w:val="4A7A0275"/>
    <w:rsid w:val="4A7A5D42"/>
    <w:rsid w:val="4A9D70A2"/>
    <w:rsid w:val="4ABE7E56"/>
    <w:rsid w:val="4AF60694"/>
    <w:rsid w:val="4B5D30A3"/>
    <w:rsid w:val="4B6840F7"/>
    <w:rsid w:val="4B70376A"/>
    <w:rsid w:val="4C0C485C"/>
    <w:rsid w:val="4C135C51"/>
    <w:rsid w:val="4C5C314D"/>
    <w:rsid w:val="4C6065D9"/>
    <w:rsid w:val="4CE34CCC"/>
    <w:rsid w:val="4D106251"/>
    <w:rsid w:val="4DA31497"/>
    <w:rsid w:val="4E1542CD"/>
    <w:rsid w:val="4E1A7EED"/>
    <w:rsid w:val="4E7B44C1"/>
    <w:rsid w:val="4E8F658C"/>
    <w:rsid w:val="4E9A16B0"/>
    <w:rsid w:val="4ECA3CF2"/>
    <w:rsid w:val="4F4637CC"/>
    <w:rsid w:val="4F7439BB"/>
    <w:rsid w:val="4F903279"/>
    <w:rsid w:val="4FD07EA9"/>
    <w:rsid w:val="4FF17A7C"/>
    <w:rsid w:val="501568D4"/>
    <w:rsid w:val="50330996"/>
    <w:rsid w:val="507148BF"/>
    <w:rsid w:val="50FB3A85"/>
    <w:rsid w:val="519226D4"/>
    <w:rsid w:val="52045C59"/>
    <w:rsid w:val="52711649"/>
    <w:rsid w:val="529A1FAF"/>
    <w:rsid w:val="52A667A8"/>
    <w:rsid w:val="53600DED"/>
    <w:rsid w:val="540240D6"/>
    <w:rsid w:val="54607A2C"/>
    <w:rsid w:val="5474450F"/>
    <w:rsid w:val="54877854"/>
    <w:rsid w:val="548E5813"/>
    <w:rsid w:val="54BC281B"/>
    <w:rsid w:val="54E7304B"/>
    <w:rsid w:val="54EA55DA"/>
    <w:rsid w:val="54EA7388"/>
    <w:rsid w:val="55484076"/>
    <w:rsid w:val="55E72F80"/>
    <w:rsid w:val="55F53C2C"/>
    <w:rsid w:val="55FD3133"/>
    <w:rsid w:val="562E67F9"/>
    <w:rsid w:val="563C5495"/>
    <w:rsid w:val="56434B55"/>
    <w:rsid w:val="56443940"/>
    <w:rsid w:val="565D3B8A"/>
    <w:rsid w:val="56CA561A"/>
    <w:rsid w:val="571237ED"/>
    <w:rsid w:val="571E01E8"/>
    <w:rsid w:val="576C003B"/>
    <w:rsid w:val="578565B3"/>
    <w:rsid w:val="5795733C"/>
    <w:rsid w:val="57AF58B5"/>
    <w:rsid w:val="57B97EA1"/>
    <w:rsid w:val="57D57E3D"/>
    <w:rsid w:val="57D7775D"/>
    <w:rsid w:val="583A7F06"/>
    <w:rsid w:val="58686560"/>
    <w:rsid w:val="587F0726"/>
    <w:rsid w:val="58A107EF"/>
    <w:rsid w:val="591519E0"/>
    <w:rsid w:val="59350F8E"/>
    <w:rsid w:val="5A0E1452"/>
    <w:rsid w:val="5B4D0D61"/>
    <w:rsid w:val="5B765E19"/>
    <w:rsid w:val="5BF705DC"/>
    <w:rsid w:val="5C03381B"/>
    <w:rsid w:val="5C527F22"/>
    <w:rsid w:val="5C6D5130"/>
    <w:rsid w:val="5D113E7C"/>
    <w:rsid w:val="5D1928CC"/>
    <w:rsid w:val="5D3E2C47"/>
    <w:rsid w:val="5DD0013F"/>
    <w:rsid w:val="5DE32AA5"/>
    <w:rsid w:val="5E391380"/>
    <w:rsid w:val="5E9E5ED4"/>
    <w:rsid w:val="5EA92586"/>
    <w:rsid w:val="5EB90D2E"/>
    <w:rsid w:val="5EBE4690"/>
    <w:rsid w:val="5EDA6A91"/>
    <w:rsid w:val="5EFC75FF"/>
    <w:rsid w:val="5F0D0182"/>
    <w:rsid w:val="5F0F3AB2"/>
    <w:rsid w:val="5F126002"/>
    <w:rsid w:val="5F1F565E"/>
    <w:rsid w:val="5F4673A3"/>
    <w:rsid w:val="5F5555D5"/>
    <w:rsid w:val="5F623641"/>
    <w:rsid w:val="5F7F7267"/>
    <w:rsid w:val="5FDD7FD1"/>
    <w:rsid w:val="5FE80DAB"/>
    <w:rsid w:val="60194FC5"/>
    <w:rsid w:val="603218A9"/>
    <w:rsid w:val="60490780"/>
    <w:rsid w:val="60D056F4"/>
    <w:rsid w:val="60F1342B"/>
    <w:rsid w:val="610709AB"/>
    <w:rsid w:val="61152DC7"/>
    <w:rsid w:val="61581B1D"/>
    <w:rsid w:val="61E810F3"/>
    <w:rsid w:val="61F00415"/>
    <w:rsid w:val="621427D7"/>
    <w:rsid w:val="62C16EF1"/>
    <w:rsid w:val="62CE062A"/>
    <w:rsid w:val="62E736C8"/>
    <w:rsid w:val="638766EA"/>
    <w:rsid w:val="64294449"/>
    <w:rsid w:val="644764EB"/>
    <w:rsid w:val="64707FCF"/>
    <w:rsid w:val="64C73242"/>
    <w:rsid w:val="651F72E3"/>
    <w:rsid w:val="655D5D62"/>
    <w:rsid w:val="65903416"/>
    <w:rsid w:val="65AD3D80"/>
    <w:rsid w:val="66536C8E"/>
    <w:rsid w:val="667F0B62"/>
    <w:rsid w:val="66E96069"/>
    <w:rsid w:val="66F24337"/>
    <w:rsid w:val="67167EA1"/>
    <w:rsid w:val="67635F5D"/>
    <w:rsid w:val="67642FCA"/>
    <w:rsid w:val="67AF51CF"/>
    <w:rsid w:val="67CC7EE1"/>
    <w:rsid w:val="67F508D2"/>
    <w:rsid w:val="681676A3"/>
    <w:rsid w:val="682540A2"/>
    <w:rsid w:val="68600CBA"/>
    <w:rsid w:val="68615288"/>
    <w:rsid w:val="68A13644"/>
    <w:rsid w:val="68D51363"/>
    <w:rsid w:val="68DE6DAC"/>
    <w:rsid w:val="691E7FBD"/>
    <w:rsid w:val="692C7EB3"/>
    <w:rsid w:val="69AF2B24"/>
    <w:rsid w:val="69C21D45"/>
    <w:rsid w:val="69C25A0D"/>
    <w:rsid w:val="69CF67F1"/>
    <w:rsid w:val="69EC0E79"/>
    <w:rsid w:val="69FB0F56"/>
    <w:rsid w:val="6A320BDA"/>
    <w:rsid w:val="6AB94C23"/>
    <w:rsid w:val="6ABC1B13"/>
    <w:rsid w:val="6AE25F2E"/>
    <w:rsid w:val="6AF87D93"/>
    <w:rsid w:val="6B065520"/>
    <w:rsid w:val="6B323269"/>
    <w:rsid w:val="6B5275DD"/>
    <w:rsid w:val="6B5A42D3"/>
    <w:rsid w:val="6BA60212"/>
    <w:rsid w:val="6BB54465"/>
    <w:rsid w:val="6BBB0C69"/>
    <w:rsid w:val="6BCC35DE"/>
    <w:rsid w:val="6BF834D4"/>
    <w:rsid w:val="6BF87FC1"/>
    <w:rsid w:val="6C3003AB"/>
    <w:rsid w:val="6C335661"/>
    <w:rsid w:val="6C50283A"/>
    <w:rsid w:val="6C5B6EDA"/>
    <w:rsid w:val="6CAB6FB3"/>
    <w:rsid w:val="6D12171A"/>
    <w:rsid w:val="6D1574AE"/>
    <w:rsid w:val="6D4058B3"/>
    <w:rsid w:val="6D451B85"/>
    <w:rsid w:val="6E045376"/>
    <w:rsid w:val="6E510BD5"/>
    <w:rsid w:val="6E53758B"/>
    <w:rsid w:val="6E700CB5"/>
    <w:rsid w:val="6EF20B58"/>
    <w:rsid w:val="6EFD36FC"/>
    <w:rsid w:val="6F1055D1"/>
    <w:rsid w:val="6F6C5073"/>
    <w:rsid w:val="6F871F4B"/>
    <w:rsid w:val="70002AD7"/>
    <w:rsid w:val="704E1BE5"/>
    <w:rsid w:val="70B035B2"/>
    <w:rsid w:val="70DE477E"/>
    <w:rsid w:val="70EB3EFD"/>
    <w:rsid w:val="710B51AC"/>
    <w:rsid w:val="710C4285"/>
    <w:rsid w:val="71165DAF"/>
    <w:rsid w:val="71990C6C"/>
    <w:rsid w:val="71E75101"/>
    <w:rsid w:val="721852C6"/>
    <w:rsid w:val="722B014F"/>
    <w:rsid w:val="72991C1F"/>
    <w:rsid w:val="72E95260"/>
    <w:rsid w:val="73025F26"/>
    <w:rsid w:val="73207868"/>
    <w:rsid w:val="7355231E"/>
    <w:rsid w:val="74201DB5"/>
    <w:rsid w:val="74F15DD4"/>
    <w:rsid w:val="74F52D8D"/>
    <w:rsid w:val="75233F46"/>
    <w:rsid w:val="753C345A"/>
    <w:rsid w:val="756957B0"/>
    <w:rsid w:val="759D5183"/>
    <w:rsid w:val="75B6111A"/>
    <w:rsid w:val="75EB0D5A"/>
    <w:rsid w:val="765154F8"/>
    <w:rsid w:val="7658171F"/>
    <w:rsid w:val="76650B0D"/>
    <w:rsid w:val="76780840"/>
    <w:rsid w:val="76BA70E6"/>
    <w:rsid w:val="776B50D2"/>
    <w:rsid w:val="77C817B1"/>
    <w:rsid w:val="77E10287"/>
    <w:rsid w:val="78747439"/>
    <w:rsid w:val="788E0495"/>
    <w:rsid w:val="78BF79F2"/>
    <w:rsid w:val="78FD50B1"/>
    <w:rsid w:val="791329C6"/>
    <w:rsid w:val="794443B3"/>
    <w:rsid w:val="79464C25"/>
    <w:rsid w:val="79D8590D"/>
    <w:rsid w:val="79F0454F"/>
    <w:rsid w:val="7A1133DF"/>
    <w:rsid w:val="7A6E11E0"/>
    <w:rsid w:val="7A80470C"/>
    <w:rsid w:val="7A8B1EC4"/>
    <w:rsid w:val="7B5E0F76"/>
    <w:rsid w:val="7BA94019"/>
    <w:rsid w:val="7C270D7A"/>
    <w:rsid w:val="7C943EFA"/>
    <w:rsid w:val="7D38D119"/>
    <w:rsid w:val="7D904A45"/>
    <w:rsid w:val="7DA13F3E"/>
    <w:rsid w:val="7E253138"/>
    <w:rsid w:val="7E3178F8"/>
    <w:rsid w:val="7E397793"/>
    <w:rsid w:val="7E5847C3"/>
    <w:rsid w:val="7E7A11D0"/>
    <w:rsid w:val="7EFD0314"/>
    <w:rsid w:val="7F160FB2"/>
    <w:rsid w:val="7F192331"/>
    <w:rsid w:val="7F1B5B78"/>
    <w:rsid w:val="7F2F3DF2"/>
    <w:rsid w:val="7FC23090"/>
    <w:rsid w:val="7FF67C58"/>
    <w:rsid w:val="EFF30AA4"/>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qFormat="1" w:unhideWhenUsed="0" w:uiPriority="0" w:semiHidden="0"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iPriority="99" w:name="footnote text"/>
    <w:lsdException w:qFormat="1" w:unhideWhenUsed="0" w:uiPriority="0" w:semiHidden="0" w:name="annotation text"/>
    <w:lsdException w:qFormat="1" w:uiPriority="0" w:semiHidden="0" w:name="header"/>
    <w:lsdException w:qFormat="1" w:uiPriority="99" w:semiHidden="0" w:name="footer"/>
    <w:lsdException w:uiPriority="99" w:name="index heading"/>
    <w:lsdException w:qFormat="1" w:unhideWhenUsed="0" w:uiPriority="0"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iPriority="99" w:name="Body Text First Indent"/>
    <w:lsdException w:qFormat="1" w:unhideWhenUsed="0"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99" w:semiHidden="0" w:name="Hyperlink"/>
    <w:lsdException w:qFormat="1" w:uiPriority="99" w:name="FollowedHyperlink"/>
    <w:lsdException w:qFormat="1" w:unhideWhenUsed="0" w:uiPriority="0" w:semiHidden="0" w:name="Strong"/>
    <w:lsdException w:qFormat="1" w:unhideWhenUsed="0" w:uiPriority="0" w:semiHidden="0" w:name="Emphasis"/>
    <w:lsdException w:qFormat="1" w:uiPriority="0" w:semiHidden="0"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iPriority="99" w:name="HTML Code"/>
    <w:lsdException w:qFormat="1" w:uiPriority="99" w:name="HTML Definition"/>
    <w:lsdException w:qFormat="1" w:uiPriority="99" w:name="HTML Keyboard"/>
    <w:lsdException w:uiPriority="99" w:name="HTML Preformatted"/>
    <w:lsdException w:qFormat="1" w:uiPriority="99" w:name="HTML Sample"/>
    <w:lsdException w:uiPriority="99" w:name="HTML Typewriter"/>
    <w:lsdException w:uiPriority="99" w:name="HTML Variable"/>
    <w:lsdException w:qFormat="1" w:uiPriority="99" w:name="Normal Table"/>
    <w:lsdException w:qFormat="1"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59" w:semiHidden="0" w:name="Table Grid"/>
    <w:lsdException w:uiPriority="99" w:name="Table Theme"/>
    <w:lsdException w:qFormat="1" w:unhideWhenUsed="0" w:uiPriority="0"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1" w:semiHidden="0" w:name="List Paragraph"/>
    <w:lsdException w:qFormat="1" w:unhideWhenUsed="0" w:uiPriority="0" w:semiHidden="0" w:name="Quote"/>
    <w:lsdException w:qFormat="1" w:unhideWhenUsed="0" w:uiPriority="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51"/>
    <w:qFormat/>
    <w:uiPriority w:val="0"/>
    <w:pPr>
      <w:keepNext/>
      <w:keepLines/>
      <w:spacing w:before="340" w:after="330" w:line="578" w:lineRule="auto"/>
      <w:outlineLvl w:val="0"/>
    </w:pPr>
    <w:rPr>
      <w:b/>
      <w:bCs/>
      <w:kern w:val="44"/>
      <w:sz w:val="44"/>
      <w:szCs w:val="44"/>
    </w:rPr>
  </w:style>
  <w:style w:type="paragraph" w:styleId="6">
    <w:name w:val="heading 2"/>
    <w:basedOn w:val="1"/>
    <w:next w:val="1"/>
    <w:link w:val="121"/>
    <w:qFormat/>
    <w:uiPriority w:val="0"/>
    <w:pPr>
      <w:keepNext/>
      <w:spacing w:before="240" w:after="60"/>
      <w:outlineLvl w:val="1"/>
    </w:pPr>
    <w:rPr>
      <w:rFonts w:ascii="Cambria" w:hAnsi="Cambria"/>
      <w:b/>
      <w:bCs/>
      <w:i/>
      <w:iCs/>
      <w:sz w:val="28"/>
      <w:szCs w:val="28"/>
    </w:rPr>
  </w:style>
  <w:style w:type="paragraph" w:styleId="7">
    <w:name w:val="heading 3"/>
    <w:basedOn w:val="1"/>
    <w:next w:val="1"/>
    <w:link w:val="153"/>
    <w:qFormat/>
    <w:uiPriority w:val="0"/>
    <w:pPr>
      <w:keepNext/>
      <w:spacing w:before="240" w:after="60"/>
      <w:outlineLvl w:val="2"/>
    </w:pPr>
    <w:rPr>
      <w:rFonts w:ascii="Cambria" w:hAnsi="Cambria"/>
      <w:b/>
      <w:bCs/>
      <w:sz w:val="26"/>
      <w:szCs w:val="26"/>
    </w:rPr>
  </w:style>
  <w:style w:type="paragraph" w:styleId="8">
    <w:name w:val="heading 4"/>
    <w:basedOn w:val="1"/>
    <w:next w:val="1"/>
    <w:link w:val="125"/>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9">
    <w:name w:val="heading 5"/>
    <w:basedOn w:val="1"/>
    <w:next w:val="1"/>
    <w:link w:val="139"/>
    <w:qFormat/>
    <w:uiPriority w:val="0"/>
    <w:pPr>
      <w:spacing w:before="240" w:after="60"/>
      <w:outlineLvl w:val="4"/>
    </w:pPr>
    <w:rPr>
      <w:b/>
      <w:bCs/>
      <w:iCs/>
      <w:sz w:val="26"/>
      <w:szCs w:val="26"/>
    </w:rPr>
  </w:style>
  <w:style w:type="paragraph" w:styleId="10">
    <w:name w:val="heading 6"/>
    <w:basedOn w:val="1"/>
    <w:next w:val="1"/>
    <w:link w:val="114"/>
    <w:qFormat/>
    <w:uiPriority w:val="0"/>
    <w:pPr>
      <w:keepNext/>
      <w:keepLines/>
      <w:spacing w:before="240" w:after="64" w:line="317" w:lineRule="auto"/>
      <w:outlineLvl w:val="5"/>
    </w:pPr>
    <w:rPr>
      <w:rFonts w:ascii="Cambria" w:hAnsi="Cambria"/>
      <w:b/>
      <w:bCs/>
      <w:sz w:val="24"/>
    </w:rPr>
  </w:style>
  <w:style w:type="paragraph" w:styleId="11">
    <w:name w:val="heading 7"/>
    <w:basedOn w:val="1"/>
    <w:next w:val="1"/>
    <w:link w:val="115"/>
    <w:qFormat/>
    <w:uiPriority w:val="0"/>
    <w:pPr>
      <w:keepNext/>
      <w:keepLines/>
      <w:spacing w:before="240" w:after="64" w:line="317" w:lineRule="auto"/>
      <w:outlineLvl w:val="6"/>
    </w:pPr>
    <w:rPr>
      <w:b/>
      <w:bCs/>
      <w:sz w:val="24"/>
    </w:rPr>
  </w:style>
  <w:style w:type="paragraph" w:styleId="12">
    <w:name w:val="heading 8"/>
    <w:basedOn w:val="1"/>
    <w:next w:val="1"/>
    <w:link w:val="116"/>
    <w:qFormat/>
    <w:uiPriority w:val="0"/>
    <w:pPr>
      <w:keepNext/>
      <w:keepLines/>
      <w:spacing w:before="240" w:after="64" w:line="317" w:lineRule="auto"/>
      <w:outlineLvl w:val="7"/>
    </w:pPr>
    <w:rPr>
      <w:rFonts w:ascii="Cambria" w:hAnsi="Cambria"/>
      <w:sz w:val="24"/>
    </w:rPr>
  </w:style>
  <w:style w:type="paragraph" w:styleId="13">
    <w:name w:val="heading 9"/>
    <w:basedOn w:val="1"/>
    <w:next w:val="1"/>
    <w:link w:val="117"/>
    <w:qFormat/>
    <w:uiPriority w:val="0"/>
    <w:pPr>
      <w:keepNext/>
      <w:keepLines/>
      <w:spacing w:before="240" w:after="64" w:line="317" w:lineRule="auto"/>
      <w:outlineLvl w:val="8"/>
    </w:pPr>
    <w:rPr>
      <w:rFonts w:ascii="Cambria" w:hAnsi="Cambria"/>
      <w:szCs w:val="21"/>
    </w:rPr>
  </w:style>
  <w:style w:type="character" w:default="1" w:styleId="39">
    <w:name w:val="Default Paragraph Font"/>
    <w:semiHidden/>
    <w:unhideWhenUsed/>
    <w:qFormat/>
    <w:uiPriority w:val="1"/>
  </w:style>
  <w:style w:type="table" w:default="1" w:styleId="37">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next w:val="4"/>
    <w:link w:val="79"/>
    <w:qFormat/>
    <w:uiPriority w:val="99"/>
    <w:pPr>
      <w:spacing w:line="276" w:lineRule="auto"/>
      <w:ind w:left="200" w:firstLine="200" w:firstLineChars="200"/>
      <w:jc w:val="left"/>
    </w:pPr>
  </w:style>
  <w:style w:type="paragraph" w:styleId="3">
    <w:name w:val="Body Text Indent"/>
    <w:basedOn w:val="1"/>
    <w:next w:val="1"/>
    <w:link w:val="78"/>
    <w:qFormat/>
    <w:uiPriority w:val="0"/>
    <w:pPr>
      <w:spacing w:after="120"/>
      <w:ind w:left="420" w:leftChars="200"/>
    </w:pPr>
  </w:style>
  <w:style w:type="paragraph" w:styleId="4">
    <w:name w:val="toc 2"/>
    <w:basedOn w:val="1"/>
    <w:next w:val="1"/>
    <w:qFormat/>
    <w:uiPriority w:val="39"/>
    <w:pPr>
      <w:tabs>
        <w:tab w:val="right" w:leader="dot" w:pos="9629"/>
      </w:tabs>
      <w:ind w:left="480" w:leftChars="200"/>
    </w:pPr>
    <w:rPr>
      <w:b/>
    </w:rPr>
  </w:style>
  <w:style w:type="paragraph" w:styleId="14">
    <w:name w:val="toc 7"/>
    <w:basedOn w:val="1"/>
    <w:next w:val="1"/>
    <w:qFormat/>
    <w:uiPriority w:val="0"/>
    <w:pPr>
      <w:ind w:left="2520" w:leftChars="1200"/>
    </w:pPr>
    <w:rPr>
      <w:szCs w:val="22"/>
    </w:rPr>
  </w:style>
  <w:style w:type="paragraph" w:styleId="15">
    <w:name w:val="Normal Indent"/>
    <w:basedOn w:val="1"/>
    <w:qFormat/>
    <w:uiPriority w:val="0"/>
    <w:pPr>
      <w:adjustRightInd w:val="0"/>
      <w:spacing w:line="360" w:lineRule="atLeast"/>
      <w:ind w:firstLine="482"/>
      <w:textAlignment w:val="baseline"/>
    </w:pPr>
    <w:rPr>
      <w:kern w:val="0"/>
      <w:sz w:val="24"/>
      <w:szCs w:val="20"/>
    </w:rPr>
  </w:style>
  <w:style w:type="paragraph" w:styleId="16">
    <w:name w:val="caption"/>
    <w:basedOn w:val="1"/>
    <w:next w:val="1"/>
    <w:qFormat/>
    <w:uiPriority w:val="0"/>
    <w:rPr>
      <w:rFonts w:ascii="Cambria" w:hAnsi="Cambria" w:eastAsia="黑体"/>
      <w:sz w:val="20"/>
      <w:szCs w:val="20"/>
    </w:rPr>
  </w:style>
  <w:style w:type="paragraph" w:styleId="17">
    <w:name w:val="Document Map"/>
    <w:basedOn w:val="1"/>
    <w:link w:val="55"/>
    <w:unhideWhenUsed/>
    <w:qFormat/>
    <w:uiPriority w:val="0"/>
    <w:rPr>
      <w:rFonts w:ascii="宋体"/>
      <w:sz w:val="18"/>
      <w:szCs w:val="18"/>
    </w:rPr>
  </w:style>
  <w:style w:type="paragraph" w:styleId="18">
    <w:name w:val="annotation text"/>
    <w:basedOn w:val="1"/>
    <w:link w:val="83"/>
    <w:qFormat/>
    <w:uiPriority w:val="0"/>
    <w:pPr>
      <w:jc w:val="left"/>
    </w:pPr>
    <w:rPr>
      <w:rFonts w:asciiTheme="minorHAnsi" w:hAnsiTheme="minorHAnsi" w:cstheme="minorBidi"/>
    </w:rPr>
  </w:style>
  <w:style w:type="paragraph" w:styleId="19">
    <w:name w:val="Body Text"/>
    <w:basedOn w:val="1"/>
    <w:next w:val="1"/>
    <w:link w:val="74"/>
    <w:qFormat/>
    <w:uiPriority w:val="0"/>
    <w:rPr>
      <w:rFonts w:eastAsia="楷体_GB2312"/>
      <w:sz w:val="28"/>
      <w:szCs w:val="20"/>
    </w:rPr>
  </w:style>
  <w:style w:type="paragraph" w:styleId="20">
    <w:name w:val="index 4"/>
    <w:basedOn w:val="1"/>
    <w:next w:val="1"/>
    <w:qFormat/>
    <w:uiPriority w:val="0"/>
    <w:pPr>
      <w:ind w:left="600" w:leftChars="600"/>
    </w:pPr>
  </w:style>
  <w:style w:type="paragraph" w:styleId="21">
    <w:name w:val="toc 5"/>
    <w:basedOn w:val="1"/>
    <w:next w:val="1"/>
    <w:qFormat/>
    <w:uiPriority w:val="0"/>
    <w:pPr>
      <w:tabs>
        <w:tab w:val="right" w:leader="dot" w:pos="8296"/>
      </w:tabs>
      <w:ind w:left="1050" w:leftChars="500"/>
    </w:pPr>
  </w:style>
  <w:style w:type="paragraph" w:styleId="22">
    <w:name w:val="toc 3"/>
    <w:basedOn w:val="1"/>
    <w:next w:val="1"/>
    <w:qFormat/>
    <w:uiPriority w:val="39"/>
    <w:pPr>
      <w:ind w:left="840" w:leftChars="400"/>
    </w:pPr>
  </w:style>
  <w:style w:type="paragraph" w:styleId="23">
    <w:name w:val="toc 8"/>
    <w:basedOn w:val="1"/>
    <w:next w:val="1"/>
    <w:qFormat/>
    <w:uiPriority w:val="0"/>
    <w:pPr>
      <w:ind w:left="2940" w:leftChars="1400"/>
    </w:pPr>
    <w:rPr>
      <w:szCs w:val="22"/>
    </w:rPr>
  </w:style>
  <w:style w:type="paragraph" w:styleId="24">
    <w:name w:val="Date"/>
    <w:basedOn w:val="1"/>
    <w:next w:val="1"/>
    <w:link w:val="118"/>
    <w:qFormat/>
    <w:uiPriority w:val="0"/>
    <w:pPr>
      <w:ind w:left="100" w:leftChars="2500"/>
    </w:pPr>
    <w:rPr>
      <w:rFonts w:ascii="宋体"/>
      <w:kern w:val="0"/>
      <w:sz w:val="28"/>
      <w:szCs w:val="20"/>
    </w:rPr>
  </w:style>
  <w:style w:type="paragraph" w:styleId="25">
    <w:name w:val="Balloon Text"/>
    <w:basedOn w:val="1"/>
    <w:link w:val="54"/>
    <w:unhideWhenUsed/>
    <w:qFormat/>
    <w:uiPriority w:val="0"/>
    <w:rPr>
      <w:sz w:val="18"/>
      <w:szCs w:val="18"/>
    </w:rPr>
  </w:style>
  <w:style w:type="paragraph" w:styleId="26">
    <w:name w:val="footer"/>
    <w:basedOn w:val="1"/>
    <w:link w:val="57"/>
    <w:unhideWhenUsed/>
    <w:qFormat/>
    <w:uiPriority w:val="99"/>
    <w:pPr>
      <w:tabs>
        <w:tab w:val="center" w:pos="4153"/>
        <w:tab w:val="right" w:pos="8306"/>
      </w:tabs>
      <w:snapToGrid w:val="0"/>
      <w:jc w:val="left"/>
    </w:pPr>
    <w:rPr>
      <w:sz w:val="18"/>
      <w:szCs w:val="18"/>
    </w:rPr>
  </w:style>
  <w:style w:type="paragraph" w:styleId="27">
    <w:name w:val="header"/>
    <w:basedOn w:val="1"/>
    <w:link w:val="56"/>
    <w:unhideWhenUsed/>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qFormat/>
    <w:uiPriority w:val="39"/>
    <w:pPr>
      <w:tabs>
        <w:tab w:val="right" w:leader="dot" w:pos="9629"/>
      </w:tabs>
    </w:pPr>
    <w:rPr>
      <w:b/>
    </w:rPr>
  </w:style>
  <w:style w:type="paragraph" w:styleId="29">
    <w:name w:val="toc 4"/>
    <w:basedOn w:val="1"/>
    <w:next w:val="1"/>
    <w:qFormat/>
    <w:uiPriority w:val="0"/>
    <w:pPr>
      <w:tabs>
        <w:tab w:val="left" w:pos="1890"/>
        <w:tab w:val="right" w:leader="dot" w:pos="8296"/>
      </w:tabs>
      <w:ind w:left="630" w:leftChars="300"/>
    </w:pPr>
  </w:style>
  <w:style w:type="paragraph" w:styleId="30">
    <w:name w:val="Subtitle"/>
    <w:basedOn w:val="1"/>
    <w:next w:val="1"/>
    <w:link w:val="119"/>
    <w:qFormat/>
    <w:uiPriority w:val="0"/>
    <w:pPr>
      <w:spacing w:before="240" w:after="60" w:line="312" w:lineRule="auto"/>
      <w:jc w:val="center"/>
      <w:outlineLvl w:val="1"/>
    </w:pPr>
    <w:rPr>
      <w:rFonts w:ascii="Cambria" w:hAnsi="Cambria"/>
      <w:b/>
      <w:bCs/>
      <w:kern w:val="28"/>
      <w:sz w:val="32"/>
      <w:szCs w:val="32"/>
    </w:rPr>
  </w:style>
  <w:style w:type="paragraph" w:styleId="31">
    <w:name w:val="toc 6"/>
    <w:basedOn w:val="1"/>
    <w:next w:val="1"/>
    <w:qFormat/>
    <w:uiPriority w:val="0"/>
    <w:pPr>
      <w:ind w:left="2100" w:leftChars="1000"/>
    </w:pPr>
    <w:rPr>
      <w:szCs w:val="22"/>
    </w:rPr>
  </w:style>
  <w:style w:type="paragraph" w:styleId="32">
    <w:name w:val="toc 9"/>
    <w:basedOn w:val="1"/>
    <w:next w:val="1"/>
    <w:qFormat/>
    <w:uiPriority w:val="0"/>
    <w:pPr>
      <w:ind w:left="3360" w:leftChars="1600"/>
    </w:pPr>
    <w:rPr>
      <w:szCs w:val="22"/>
    </w:rPr>
  </w:style>
  <w:style w:type="paragraph" w:styleId="33">
    <w:name w:val="Normal (Web)"/>
    <w:basedOn w:val="1"/>
    <w:qFormat/>
    <w:uiPriority w:val="0"/>
    <w:pPr>
      <w:spacing w:before="100" w:beforeAutospacing="1" w:after="100" w:afterAutospacing="1" w:line="320" w:lineRule="atLeast"/>
    </w:pPr>
    <w:rPr>
      <w:rFonts w:ascii="宋体" w:hAnsi="宋体" w:cs="宋体"/>
      <w:sz w:val="18"/>
      <w:szCs w:val="18"/>
    </w:rPr>
  </w:style>
  <w:style w:type="paragraph" w:styleId="34">
    <w:name w:val="Title"/>
    <w:basedOn w:val="1"/>
    <w:next w:val="1"/>
    <w:link w:val="120"/>
    <w:qFormat/>
    <w:uiPriority w:val="0"/>
    <w:pPr>
      <w:spacing w:before="240" w:after="60"/>
      <w:jc w:val="center"/>
      <w:outlineLvl w:val="0"/>
    </w:pPr>
    <w:rPr>
      <w:rFonts w:ascii="Cambria" w:hAnsi="Cambria"/>
      <w:b/>
      <w:bCs/>
      <w:sz w:val="32"/>
      <w:szCs w:val="32"/>
    </w:rPr>
  </w:style>
  <w:style w:type="paragraph" w:styleId="35">
    <w:name w:val="annotation subject"/>
    <w:basedOn w:val="18"/>
    <w:next w:val="18"/>
    <w:link w:val="59"/>
    <w:unhideWhenUsed/>
    <w:qFormat/>
    <w:uiPriority w:val="0"/>
    <w:rPr>
      <w:rFonts w:ascii="Times New Roman" w:hAnsi="Times New Roman" w:cs="Times New Roman"/>
      <w:b/>
      <w:bCs/>
    </w:rPr>
  </w:style>
  <w:style w:type="paragraph" w:styleId="36">
    <w:name w:val="Body Text First Indent"/>
    <w:basedOn w:val="19"/>
    <w:link w:val="75"/>
    <w:semiHidden/>
    <w:unhideWhenUsed/>
    <w:qFormat/>
    <w:uiPriority w:val="99"/>
    <w:pPr>
      <w:ind w:firstLine="420" w:firstLineChars="100"/>
    </w:pPr>
  </w:style>
  <w:style w:type="table" w:styleId="38">
    <w:name w:val="Table Grid"/>
    <w:basedOn w:val="37"/>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0">
    <w:name w:val="Strong"/>
    <w:basedOn w:val="39"/>
    <w:qFormat/>
    <w:uiPriority w:val="0"/>
    <w:rPr>
      <w:b/>
      <w:bCs/>
    </w:rPr>
  </w:style>
  <w:style w:type="character" w:styleId="41">
    <w:name w:val="page number"/>
    <w:qFormat/>
    <w:uiPriority w:val="0"/>
    <w:rPr>
      <w:rFonts w:cs="Times New Roman"/>
    </w:rPr>
  </w:style>
  <w:style w:type="character" w:styleId="42">
    <w:name w:val="FollowedHyperlink"/>
    <w:basedOn w:val="39"/>
    <w:semiHidden/>
    <w:unhideWhenUsed/>
    <w:qFormat/>
    <w:uiPriority w:val="99"/>
    <w:rPr>
      <w:color w:val="4D7AD8"/>
      <w:u w:val="none"/>
    </w:rPr>
  </w:style>
  <w:style w:type="character" w:styleId="43">
    <w:name w:val="Emphasis"/>
    <w:qFormat/>
    <w:uiPriority w:val="0"/>
    <w:rPr>
      <w:i/>
      <w:iCs/>
    </w:rPr>
  </w:style>
  <w:style w:type="character" w:styleId="44">
    <w:name w:val="HTML Definition"/>
    <w:basedOn w:val="39"/>
    <w:semiHidden/>
    <w:unhideWhenUsed/>
    <w:qFormat/>
    <w:uiPriority w:val="99"/>
    <w:rPr>
      <w:i/>
      <w:iCs/>
    </w:rPr>
  </w:style>
  <w:style w:type="character" w:styleId="45">
    <w:name w:val="Hyperlink"/>
    <w:basedOn w:val="39"/>
    <w:qFormat/>
    <w:uiPriority w:val="99"/>
    <w:rPr>
      <w:rFonts w:eastAsia="宋体"/>
      <w:color w:val="0000FF"/>
      <w:sz w:val="24"/>
      <w:u w:val="single"/>
    </w:rPr>
  </w:style>
  <w:style w:type="character" w:styleId="46">
    <w:name w:val="HTML Code"/>
    <w:basedOn w:val="39"/>
    <w:semiHidden/>
    <w:unhideWhenUsed/>
    <w:qFormat/>
    <w:uiPriority w:val="99"/>
    <w:rPr>
      <w:rFonts w:hint="default" w:ascii="Consolas" w:hAnsi="Consolas" w:eastAsia="Consolas" w:cs="Consolas"/>
      <w:sz w:val="21"/>
      <w:szCs w:val="21"/>
      <w:shd w:val="clear" w:color="auto" w:fill="F8F8F8"/>
    </w:rPr>
  </w:style>
  <w:style w:type="character" w:styleId="47">
    <w:name w:val="annotation reference"/>
    <w:basedOn w:val="39"/>
    <w:qFormat/>
    <w:uiPriority w:val="0"/>
    <w:rPr>
      <w:sz w:val="21"/>
      <w:szCs w:val="21"/>
    </w:rPr>
  </w:style>
  <w:style w:type="character" w:styleId="48">
    <w:name w:val="HTML Keyboard"/>
    <w:basedOn w:val="39"/>
    <w:semiHidden/>
    <w:unhideWhenUsed/>
    <w:qFormat/>
    <w:uiPriority w:val="99"/>
    <w:rPr>
      <w:rFonts w:hint="default" w:ascii="Consolas" w:hAnsi="Consolas" w:eastAsia="Consolas" w:cs="Consolas"/>
      <w:sz w:val="21"/>
      <w:szCs w:val="21"/>
    </w:rPr>
  </w:style>
  <w:style w:type="character" w:styleId="49">
    <w:name w:val="HTML Sample"/>
    <w:basedOn w:val="39"/>
    <w:semiHidden/>
    <w:unhideWhenUsed/>
    <w:qFormat/>
    <w:uiPriority w:val="99"/>
    <w:rPr>
      <w:rFonts w:ascii="Consolas" w:hAnsi="Consolas" w:eastAsia="Consolas" w:cs="Consolas"/>
      <w:sz w:val="21"/>
      <w:szCs w:val="21"/>
    </w:rPr>
  </w:style>
  <w:style w:type="paragraph" w:customStyle="1" w:styleId="50">
    <w:name w:val="列出段落1"/>
    <w:basedOn w:val="1"/>
    <w:unhideWhenUsed/>
    <w:qFormat/>
    <w:uiPriority w:val="34"/>
    <w:pPr>
      <w:ind w:firstLine="420" w:firstLineChars="200"/>
    </w:pPr>
    <w:rPr>
      <w:rFonts w:hint="eastAsia"/>
    </w:rPr>
  </w:style>
  <w:style w:type="character" w:customStyle="1" w:styleId="51">
    <w:name w:val="标题 1 字符"/>
    <w:basedOn w:val="39"/>
    <w:link w:val="5"/>
    <w:qFormat/>
    <w:uiPriority w:val="0"/>
    <w:rPr>
      <w:rFonts w:ascii="Times New Roman" w:hAnsi="Times New Roman" w:eastAsia="宋体" w:cs="Times New Roman"/>
      <w:b/>
      <w:bCs/>
      <w:kern w:val="44"/>
      <w:sz w:val="44"/>
      <w:szCs w:val="44"/>
    </w:rPr>
  </w:style>
  <w:style w:type="character" w:customStyle="1" w:styleId="52">
    <w:name w:val="批注文字 字符"/>
    <w:qFormat/>
    <w:uiPriority w:val="0"/>
    <w:rPr>
      <w:rFonts w:eastAsia="宋体"/>
      <w:szCs w:val="24"/>
    </w:rPr>
  </w:style>
  <w:style w:type="character" w:customStyle="1" w:styleId="53">
    <w:name w:val="批注文字 Char1"/>
    <w:basedOn w:val="39"/>
    <w:semiHidden/>
    <w:qFormat/>
    <w:uiPriority w:val="99"/>
    <w:rPr>
      <w:rFonts w:ascii="Times New Roman" w:hAnsi="Times New Roman" w:eastAsia="宋体" w:cs="Times New Roman"/>
      <w:szCs w:val="24"/>
    </w:rPr>
  </w:style>
  <w:style w:type="character" w:customStyle="1" w:styleId="54">
    <w:name w:val="批注框文本 字符"/>
    <w:basedOn w:val="39"/>
    <w:link w:val="25"/>
    <w:qFormat/>
    <w:uiPriority w:val="0"/>
    <w:rPr>
      <w:rFonts w:ascii="Times New Roman" w:hAnsi="Times New Roman" w:eastAsia="宋体" w:cs="Times New Roman"/>
      <w:sz w:val="18"/>
      <w:szCs w:val="18"/>
    </w:rPr>
  </w:style>
  <w:style w:type="character" w:customStyle="1" w:styleId="55">
    <w:name w:val="文档结构图 字符"/>
    <w:basedOn w:val="39"/>
    <w:link w:val="17"/>
    <w:qFormat/>
    <w:uiPriority w:val="0"/>
    <w:rPr>
      <w:rFonts w:ascii="宋体" w:hAnsi="Times New Roman" w:eastAsia="宋体" w:cs="Times New Roman"/>
      <w:sz w:val="18"/>
      <w:szCs w:val="18"/>
    </w:rPr>
  </w:style>
  <w:style w:type="character" w:customStyle="1" w:styleId="56">
    <w:name w:val="页眉 字符"/>
    <w:basedOn w:val="39"/>
    <w:link w:val="27"/>
    <w:qFormat/>
    <w:uiPriority w:val="0"/>
    <w:rPr>
      <w:rFonts w:ascii="Times New Roman" w:hAnsi="Times New Roman" w:eastAsia="宋体" w:cs="Times New Roman"/>
      <w:sz w:val="18"/>
      <w:szCs w:val="18"/>
    </w:rPr>
  </w:style>
  <w:style w:type="character" w:customStyle="1" w:styleId="57">
    <w:name w:val="页脚 字符"/>
    <w:basedOn w:val="39"/>
    <w:link w:val="26"/>
    <w:qFormat/>
    <w:uiPriority w:val="99"/>
    <w:rPr>
      <w:rFonts w:ascii="Times New Roman" w:hAnsi="Times New Roman" w:eastAsia="宋体" w:cs="Times New Roman"/>
      <w:sz w:val="18"/>
      <w:szCs w:val="18"/>
    </w:rPr>
  </w:style>
  <w:style w:type="character" w:customStyle="1" w:styleId="58">
    <w:name w:val="NormalCharacter"/>
    <w:qFormat/>
    <w:uiPriority w:val="0"/>
  </w:style>
  <w:style w:type="character" w:customStyle="1" w:styleId="59">
    <w:name w:val="批注主题 字符"/>
    <w:basedOn w:val="52"/>
    <w:link w:val="35"/>
    <w:qFormat/>
    <w:uiPriority w:val="0"/>
    <w:rPr>
      <w:rFonts w:eastAsia="宋体"/>
      <w:b/>
      <w:bCs/>
      <w:kern w:val="2"/>
      <w:sz w:val="21"/>
      <w:szCs w:val="24"/>
    </w:rPr>
  </w:style>
  <w:style w:type="paragraph" w:customStyle="1" w:styleId="60">
    <w:name w:val="BodyText3"/>
    <w:basedOn w:val="1"/>
    <w:qFormat/>
    <w:uiPriority w:val="0"/>
    <w:pPr>
      <w:spacing w:after="120"/>
    </w:pPr>
    <w:rPr>
      <w:sz w:val="16"/>
      <w:szCs w:val="16"/>
    </w:rPr>
  </w:style>
  <w:style w:type="paragraph" w:customStyle="1" w:styleId="61">
    <w:name w:val="UserStyle_92"/>
    <w:basedOn w:val="1"/>
    <w:qFormat/>
    <w:uiPriority w:val="0"/>
    <w:rPr>
      <w:szCs w:val="21"/>
    </w:rPr>
  </w:style>
  <w:style w:type="paragraph" w:customStyle="1" w:styleId="62">
    <w:name w:val="UserStyle_95"/>
    <w:basedOn w:val="63"/>
    <w:qFormat/>
    <w:uiPriority w:val="0"/>
  </w:style>
  <w:style w:type="paragraph" w:customStyle="1" w:styleId="63">
    <w:name w:val="Heading4"/>
    <w:basedOn w:val="1"/>
    <w:next w:val="1"/>
    <w:qFormat/>
    <w:uiPriority w:val="0"/>
    <w:pPr>
      <w:keepNext/>
      <w:spacing w:before="240" w:after="60"/>
    </w:pPr>
    <w:rPr>
      <w:b/>
      <w:bCs/>
      <w:sz w:val="28"/>
      <w:szCs w:val="28"/>
    </w:rPr>
  </w:style>
  <w:style w:type="paragraph" w:customStyle="1" w:styleId="64">
    <w:name w:val="Heading2"/>
    <w:basedOn w:val="1"/>
    <w:next w:val="1"/>
    <w:qFormat/>
    <w:uiPriority w:val="0"/>
    <w:pPr>
      <w:keepNext/>
      <w:spacing w:before="240" w:after="60"/>
    </w:pPr>
    <w:rPr>
      <w:rFonts w:ascii="Cambria" w:hAnsi="Cambria"/>
      <w:b/>
      <w:bCs/>
      <w:i/>
      <w:iCs/>
      <w:sz w:val="28"/>
      <w:szCs w:val="28"/>
    </w:rPr>
  </w:style>
  <w:style w:type="paragraph" w:customStyle="1" w:styleId="65">
    <w:name w:val="BodyTextIndent"/>
    <w:basedOn w:val="1"/>
    <w:qFormat/>
    <w:uiPriority w:val="0"/>
    <w:pPr>
      <w:spacing w:after="120"/>
      <w:ind w:left="420" w:leftChars="200"/>
    </w:pPr>
    <w:rPr>
      <w:sz w:val="20"/>
    </w:rPr>
  </w:style>
  <w:style w:type="paragraph" w:customStyle="1" w:styleId="66">
    <w:name w:val="Heading3"/>
    <w:basedOn w:val="1"/>
    <w:next w:val="1"/>
    <w:qFormat/>
    <w:uiPriority w:val="0"/>
    <w:pPr>
      <w:keepNext/>
      <w:spacing w:before="240" w:after="60"/>
    </w:pPr>
    <w:rPr>
      <w:rFonts w:ascii="Cambria" w:hAnsi="Cambria"/>
      <w:b/>
      <w:bCs/>
      <w:sz w:val="26"/>
      <w:szCs w:val="26"/>
    </w:rPr>
  </w:style>
  <w:style w:type="paragraph" w:styleId="67">
    <w:name w:val="List Paragraph"/>
    <w:basedOn w:val="1"/>
    <w:unhideWhenUsed/>
    <w:qFormat/>
    <w:uiPriority w:val="1"/>
    <w:pPr>
      <w:ind w:firstLine="420" w:firstLineChars="200"/>
    </w:pPr>
  </w:style>
  <w:style w:type="character" w:customStyle="1" w:styleId="68">
    <w:name w:val="font101"/>
    <w:basedOn w:val="39"/>
    <w:qFormat/>
    <w:uiPriority w:val="0"/>
    <w:rPr>
      <w:rFonts w:hint="eastAsia" w:ascii="仿宋" w:hAnsi="仿宋" w:eastAsia="仿宋" w:cs="仿宋"/>
      <w:color w:val="000000"/>
      <w:sz w:val="28"/>
      <w:szCs w:val="28"/>
      <w:u w:val="none"/>
    </w:rPr>
  </w:style>
  <w:style w:type="paragraph" w:customStyle="1" w:styleId="69">
    <w:name w:val="标题4"/>
    <w:basedOn w:val="8"/>
    <w:link w:val="140"/>
    <w:qFormat/>
    <w:uiPriority w:val="0"/>
  </w:style>
  <w:style w:type="character" w:customStyle="1" w:styleId="70">
    <w:name w:val="font81"/>
    <w:basedOn w:val="39"/>
    <w:qFormat/>
    <w:uiPriority w:val="0"/>
    <w:rPr>
      <w:rFonts w:hint="eastAsia" w:ascii="仿宋" w:hAnsi="仿宋" w:eastAsia="仿宋" w:cs="仿宋"/>
      <w:color w:val="000000"/>
      <w:sz w:val="24"/>
      <w:szCs w:val="24"/>
      <w:u w:val="none"/>
    </w:rPr>
  </w:style>
  <w:style w:type="character" w:customStyle="1" w:styleId="71">
    <w:name w:val="font11"/>
    <w:basedOn w:val="39"/>
    <w:qFormat/>
    <w:uiPriority w:val="0"/>
    <w:rPr>
      <w:rFonts w:hint="eastAsia" w:ascii="仿宋" w:hAnsi="仿宋" w:eastAsia="仿宋" w:cs="仿宋"/>
      <w:color w:val="000000"/>
      <w:sz w:val="24"/>
      <w:szCs w:val="24"/>
      <w:u w:val="none"/>
    </w:rPr>
  </w:style>
  <w:style w:type="character" w:customStyle="1" w:styleId="72">
    <w:name w:val="font01"/>
    <w:basedOn w:val="39"/>
    <w:qFormat/>
    <w:uiPriority w:val="0"/>
    <w:rPr>
      <w:rFonts w:ascii="Arial" w:hAnsi="Arial" w:cs="Arial"/>
      <w:color w:val="000000"/>
      <w:sz w:val="24"/>
      <w:szCs w:val="24"/>
      <w:u w:val="none"/>
    </w:rPr>
  </w:style>
  <w:style w:type="character" w:customStyle="1" w:styleId="73">
    <w:name w:val="font31"/>
    <w:basedOn w:val="39"/>
    <w:qFormat/>
    <w:uiPriority w:val="0"/>
    <w:rPr>
      <w:rFonts w:hint="eastAsia" w:ascii="仿宋" w:hAnsi="仿宋" w:eastAsia="仿宋" w:cs="仿宋"/>
      <w:color w:val="000000"/>
      <w:sz w:val="28"/>
      <w:szCs w:val="28"/>
      <w:u w:val="none"/>
    </w:rPr>
  </w:style>
  <w:style w:type="character" w:customStyle="1" w:styleId="74">
    <w:name w:val="正文文本 字符"/>
    <w:basedOn w:val="39"/>
    <w:link w:val="19"/>
    <w:qFormat/>
    <w:uiPriority w:val="0"/>
    <w:rPr>
      <w:kern w:val="2"/>
      <w:sz w:val="21"/>
      <w:szCs w:val="24"/>
    </w:rPr>
  </w:style>
  <w:style w:type="character" w:customStyle="1" w:styleId="75">
    <w:name w:val="正文文本首行缩进 字符"/>
    <w:link w:val="36"/>
    <w:qFormat/>
    <w:uiPriority w:val="0"/>
    <w:rPr>
      <w:sz w:val="21"/>
      <w:szCs w:val="21"/>
    </w:rPr>
  </w:style>
  <w:style w:type="character" w:customStyle="1" w:styleId="76">
    <w:name w:val="正文文本缩进 字符"/>
    <w:basedOn w:val="39"/>
    <w:qFormat/>
    <w:uiPriority w:val="0"/>
    <w:rPr>
      <w:sz w:val="21"/>
      <w:szCs w:val="21"/>
    </w:rPr>
  </w:style>
  <w:style w:type="character" w:customStyle="1" w:styleId="77">
    <w:name w:val="正文首行缩进 2 字符"/>
    <w:basedOn w:val="76"/>
    <w:qFormat/>
    <w:uiPriority w:val="0"/>
    <w:rPr>
      <w:sz w:val="21"/>
      <w:szCs w:val="21"/>
    </w:rPr>
  </w:style>
  <w:style w:type="character" w:customStyle="1" w:styleId="78">
    <w:name w:val="正文文本缩进 字符1"/>
    <w:basedOn w:val="39"/>
    <w:link w:val="3"/>
    <w:qFormat/>
    <w:uiPriority w:val="0"/>
    <w:rPr>
      <w:kern w:val="2"/>
      <w:sz w:val="21"/>
      <w:szCs w:val="21"/>
    </w:rPr>
  </w:style>
  <w:style w:type="character" w:customStyle="1" w:styleId="79">
    <w:name w:val="正文文本首行缩进 2 字符"/>
    <w:basedOn w:val="78"/>
    <w:link w:val="2"/>
    <w:qFormat/>
    <w:uiPriority w:val="99"/>
    <w:rPr>
      <w:kern w:val="2"/>
      <w:sz w:val="21"/>
      <w:szCs w:val="21"/>
    </w:rPr>
  </w:style>
  <w:style w:type="paragraph" w:customStyle="1" w:styleId="80">
    <w:name w:val="TOC 标题1"/>
    <w:basedOn w:val="5"/>
    <w:next w:val="1"/>
    <w:qFormat/>
    <w:uiPriority w:val="0"/>
    <w:pPr>
      <w:outlineLvl w:val="9"/>
    </w:pPr>
  </w:style>
  <w:style w:type="paragraph" w:customStyle="1" w:styleId="81">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82">
    <w:name w:val="_Style 6"/>
    <w:basedOn w:val="5"/>
    <w:next w:val="1"/>
    <w:qFormat/>
    <w:uiPriority w:val="0"/>
    <w:pPr>
      <w:outlineLvl w:val="9"/>
    </w:pPr>
  </w:style>
  <w:style w:type="character" w:customStyle="1" w:styleId="83">
    <w:name w:val="批注文字 字符1"/>
    <w:basedOn w:val="39"/>
    <w:link w:val="18"/>
    <w:qFormat/>
    <w:uiPriority w:val="0"/>
    <w:rPr>
      <w:rFonts w:hint="default" w:ascii="Times New Roman" w:hAnsi="Times New Roman" w:cs="Times New Roman"/>
      <w:kern w:val="2"/>
      <w:sz w:val="21"/>
      <w:szCs w:val="24"/>
    </w:rPr>
  </w:style>
  <w:style w:type="character" w:customStyle="1" w:styleId="84">
    <w:name w:val="cke_path_empty2"/>
    <w:basedOn w:val="39"/>
    <w:qFormat/>
    <w:uiPriority w:val="0"/>
    <w:rPr>
      <w:b/>
      <w:bCs/>
      <w:color w:val="484848"/>
      <w:sz w:val="16"/>
      <w:szCs w:val="16"/>
      <w:u w:val="none"/>
    </w:rPr>
  </w:style>
  <w:style w:type="character" w:customStyle="1" w:styleId="85">
    <w:name w:val="isrevision"/>
    <w:basedOn w:val="39"/>
    <w:qFormat/>
    <w:uiPriority w:val="0"/>
    <w:rPr>
      <w:color w:val="000000"/>
      <w:sz w:val="18"/>
      <w:szCs w:val="18"/>
      <w:bdr w:val="single" w:color="E9E9E9" w:sz="6" w:space="0"/>
      <w:shd w:val="clear" w:color="auto" w:fill="FFFFFF"/>
    </w:rPr>
  </w:style>
  <w:style w:type="character" w:customStyle="1" w:styleId="86">
    <w:name w:val="ant-tree-iconele"/>
    <w:basedOn w:val="39"/>
    <w:qFormat/>
    <w:uiPriority w:val="0"/>
  </w:style>
  <w:style w:type="character" w:customStyle="1" w:styleId="87">
    <w:name w:val="cke_colorbox"/>
    <w:basedOn w:val="39"/>
    <w:qFormat/>
    <w:uiPriority w:val="0"/>
    <w:rPr>
      <w:bdr w:val="single" w:color="808080" w:sz="6" w:space="0"/>
    </w:rPr>
  </w:style>
  <w:style w:type="character" w:customStyle="1" w:styleId="88">
    <w:name w:val="cke_colorbox1"/>
    <w:basedOn w:val="39"/>
    <w:qFormat/>
    <w:uiPriority w:val="0"/>
  </w:style>
  <w:style w:type="character" w:customStyle="1" w:styleId="89">
    <w:name w:val="cke_colorbox2"/>
    <w:basedOn w:val="39"/>
    <w:qFormat/>
    <w:uiPriority w:val="0"/>
  </w:style>
  <w:style w:type="character" w:customStyle="1" w:styleId="90">
    <w:name w:val="cke_colorbox3"/>
    <w:basedOn w:val="39"/>
    <w:qFormat/>
    <w:uiPriority w:val="0"/>
  </w:style>
  <w:style w:type="character" w:customStyle="1" w:styleId="91">
    <w:name w:val="button"/>
    <w:basedOn w:val="39"/>
    <w:qFormat/>
    <w:uiPriority w:val="0"/>
  </w:style>
  <w:style w:type="character" w:customStyle="1" w:styleId="92">
    <w:name w:val="button1"/>
    <w:basedOn w:val="39"/>
    <w:qFormat/>
    <w:uiPriority w:val="0"/>
  </w:style>
  <w:style w:type="character" w:customStyle="1" w:styleId="93">
    <w:name w:val="ant-radio+*"/>
    <w:basedOn w:val="39"/>
    <w:qFormat/>
    <w:uiPriority w:val="0"/>
  </w:style>
  <w:style w:type="character" w:customStyle="1" w:styleId="94">
    <w:name w:val="tmpztreemove_arrow"/>
    <w:basedOn w:val="39"/>
    <w:qFormat/>
    <w:uiPriority w:val="0"/>
  </w:style>
  <w:style w:type="character" w:customStyle="1" w:styleId="95">
    <w:name w:val="cke_dialog_ui_button"/>
    <w:basedOn w:val="39"/>
    <w:qFormat/>
    <w:uiPriority w:val="0"/>
  </w:style>
  <w:style w:type="character" w:customStyle="1" w:styleId="96">
    <w:name w:val="first-of-type"/>
    <w:basedOn w:val="39"/>
    <w:qFormat/>
    <w:uiPriority w:val="0"/>
    <w:rPr>
      <w:color w:val="FF0000"/>
    </w:rPr>
  </w:style>
  <w:style w:type="character" w:customStyle="1" w:styleId="97">
    <w:name w:val="first-of-type1"/>
    <w:basedOn w:val="39"/>
    <w:qFormat/>
    <w:uiPriority w:val="0"/>
    <w:rPr>
      <w:color w:val="FF0000"/>
    </w:rPr>
  </w:style>
  <w:style w:type="character" w:customStyle="1" w:styleId="98">
    <w:name w:val="not-pass-node"/>
    <w:basedOn w:val="39"/>
    <w:qFormat/>
    <w:uiPriority w:val="0"/>
    <w:rPr>
      <w:bdr w:val="single" w:color="5ABD6B" w:sz="6" w:space="0"/>
      <w:shd w:val="clear" w:color="auto" w:fill="BFF3C3"/>
    </w:rPr>
  </w:style>
  <w:style w:type="character" w:customStyle="1" w:styleId="99">
    <w:name w:val="wea-dropdown-triangle2"/>
    <w:basedOn w:val="39"/>
    <w:qFormat/>
    <w:uiPriority w:val="0"/>
  </w:style>
  <w:style w:type="character" w:customStyle="1" w:styleId="100">
    <w:name w:val="current-node"/>
    <w:basedOn w:val="39"/>
    <w:qFormat/>
    <w:uiPriority w:val="0"/>
    <w:rPr>
      <w:bdr w:val="single" w:color="F5B87B" w:sz="6" w:space="0"/>
      <w:shd w:val="clear" w:color="auto" w:fill="FFE8CC"/>
    </w:rPr>
  </w:style>
  <w:style w:type="character" w:customStyle="1" w:styleId="101">
    <w:name w:val="passed-node"/>
    <w:basedOn w:val="39"/>
    <w:qFormat/>
    <w:uiPriority w:val="0"/>
    <w:rPr>
      <w:bdr w:val="single" w:color="49A8D4" w:sz="6" w:space="0"/>
      <w:shd w:val="clear" w:color="auto" w:fill="A9E3FF"/>
    </w:rPr>
  </w:style>
  <w:style w:type="character" w:customStyle="1" w:styleId="102">
    <w:name w:val="auto-pass-node"/>
    <w:basedOn w:val="39"/>
    <w:qFormat/>
    <w:uiPriority w:val="0"/>
    <w:rPr>
      <w:bdr w:val="single" w:color="DC4446" w:sz="6" w:space="0"/>
      <w:shd w:val="clear" w:color="auto" w:fill="A9E2FF"/>
    </w:rPr>
  </w:style>
  <w:style w:type="character" w:customStyle="1" w:styleId="103">
    <w:name w:val="hover34"/>
    <w:basedOn w:val="39"/>
    <w:qFormat/>
    <w:uiPriority w:val="0"/>
    <w:rPr>
      <w:color w:val="009DFF"/>
    </w:rPr>
  </w:style>
  <w:style w:type="character" w:customStyle="1" w:styleId="104">
    <w:name w:val="hover35"/>
    <w:basedOn w:val="39"/>
    <w:qFormat/>
    <w:uiPriority w:val="0"/>
    <w:rPr>
      <w:color w:val="009DFF"/>
    </w:rPr>
  </w:style>
  <w:style w:type="character" w:customStyle="1" w:styleId="105">
    <w:name w:val="disabled"/>
    <w:basedOn w:val="39"/>
    <w:qFormat/>
    <w:uiPriority w:val="0"/>
    <w:rPr>
      <w:color w:val="AAAAAA"/>
      <w:shd w:val="clear" w:color="auto" w:fill="F7F7F7"/>
    </w:rPr>
  </w:style>
  <w:style w:type="character" w:customStyle="1" w:styleId="106">
    <w:name w:val="ant-select-tree-checkbox"/>
    <w:basedOn w:val="39"/>
    <w:qFormat/>
    <w:uiPriority w:val="0"/>
  </w:style>
  <w:style w:type="character" w:customStyle="1" w:styleId="107">
    <w:name w:val="ant-select-tree-iconele"/>
    <w:basedOn w:val="39"/>
    <w:qFormat/>
    <w:uiPriority w:val="0"/>
  </w:style>
  <w:style w:type="character" w:customStyle="1" w:styleId="108">
    <w:name w:val="ant-select-tree-switcher"/>
    <w:basedOn w:val="39"/>
    <w:qFormat/>
    <w:uiPriority w:val="0"/>
  </w:style>
  <w:style w:type="character" w:customStyle="1" w:styleId="109">
    <w:name w:val="ant-tree-checkbox8"/>
    <w:basedOn w:val="39"/>
    <w:qFormat/>
    <w:uiPriority w:val="0"/>
  </w:style>
  <w:style w:type="character" w:customStyle="1" w:styleId="110">
    <w:name w:val="ant-tree-switcher10"/>
    <w:basedOn w:val="39"/>
    <w:qFormat/>
    <w:uiPriority w:val="0"/>
  </w:style>
  <w:style w:type="character" w:customStyle="1" w:styleId="111">
    <w:name w:val="wea-thumbnails-doc-content-subtitle"/>
    <w:basedOn w:val="39"/>
    <w:qFormat/>
    <w:uiPriority w:val="0"/>
    <w:rPr>
      <w:color w:val="9A9A9A"/>
    </w:rPr>
  </w:style>
  <w:style w:type="character" w:customStyle="1" w:styleId="112">
    <w:name w:val="cke_notification_progress"/>
    <w:basedOn w:val="39"/>
    <w:qFormat/>
    <w:uiPriority w:val="0"/>
    <w:rPr>
      <w:shd w:val="clear" w:color="auto" w:fill="0F74A8"/>
    </w:rPr>
  </w:style>
  <w:style w:type="character" w:customStyle="1" w:styleId="113">
    <w:name w:val="ant-table-row-expand-icon4"/>
    <w:basedOn w:val="39"/>
    <w:qFormat/>
    <w:uiPriority w:val="0"/>
    <w:rPr>
      <w:vanish/>
    </w:rPr>
  </w:style>
  <w:style w:type="character" w:customStyle="1" w:styleId="114">
    <w:name w:val="标题 6 字符"/>
    <w:basedOn w:val="39"/>
    <w:link w:val="10"/>
    <w:qFormat/>
    <w:uiPriority w:val="0"/>
    <w:rPr>
      <w:rFonts w:ascii="Cambria" w:hAnsi="Cambria"/>
      <w:b/>
      <w:bCs/>
      <w:kern w:val="2"/>
      <w:sz w:val="24"/>
      <w:szCs w:val="24"/>
    </w:rPr>
  </w:style>
  <w:style w:type="character" w:customStyle="1" w:styleId="115">
    <w:name w:val="标题 7 字符"/>
    <w:basedOn w:val="39"/>
    <w:link w:val="11"/>
    <w:qFormat/>
    <w:uiPriority w:val="0"/>
    <w:rPr>
      <w:b/>
      <w:bCs/>
      <w:kern w:val="2"/>
      <w:sz w:val="24"/>
      <w:szCs w:val="24"/>
    </w:rPr>
  </w:style>
  <w:style w:type="character" w:customStyle="1" w:styleId="116">
    <w:name w:val="标题 8 字符"/>
    <w:basedOn w:val="39"/>
    <w:link w:val="12"/>
    <w:qFormat/>
    <w:uiPriority w:val="0"/>
    <w:rPr>
      <w:rFonts w:ascii="Cambria" w:hAnsi="Cambria"/>
      <w:kern w:val="2"/>
      <w:sz w:val="24"/>
      <w:szCs w:val="24"/>
    </w:rPr>
  </w:style>
  <w:style w:type="character" w:customStyle="1" w:styleId="117">
    <w:name w:val="标题 9 字符"/>
    <w:basedOn w:val="39"/>
    <w:link w:val="13"/>
    <w:qFormat/>
    <w:uiPriority w:val="0"/>
    <w:rPr>
      <w:rFonts w:ascii="Cambria" w:hAnsi="Cambria"/>
      <w:kern w:val="2"/>
      <w:sz w:val="21"/>
      <w:szCs w:val="21"/>
    </w:rPr>
  </w:style>
  <w:style w:type="character" w:customStyle="1" w:styleId="118">
    <w:name w:val="日期 字符"/>
    <w:basedOn w:val="39"/>
    <w:link w:val="24"/>
    <w:qFormat/>
    <w:uiPriority w:val="0"/>
    <w:rPr>
      <w:rFonts w:ascii="宋体"/>
      <w:sz w:val="28"/>
    </w:rPr>
  </w:style>
  <w:style w:type="character" w:customStyle="1" w:styleId="119">
    <w:name w:val="副标题 字符"/>
    <w:basedOn w:val="39"/>
    <w:link w:val="30"/>
    <w:qFormat/>
    <w:uiPriority w:val="0"/>
    <w:rPr>
      <w:rFonts w:ascii="Cambria" w:hAnsi="Cambria"/>
      <w:b/>
      <w:bCs/>
      <w:kern w:val="28"/>
      <w:sz w:val="32"/>
      <w:szCs w:val="32"/>
    </w:rPr>
  </w:style>
  <w:style w:type="character" w:customStyle="1" w:styleId="120">
    <w:name w:val="标题 字符"/>
    <w:basedOn w:val="39"/>
    <w:link w:val="34"/>
    <w:qFormat/>
    <w:uiPriority w:val="0"/>
    <w:rPr>
      <w:rFonts w:ascii="Cambria" w:hAnsi="Cambria"/>
      <w:b/>
      <w:bCs/>
      <w:kern w:val="2"/>
      <w:sz w:val="32"/>
      <w:szCs w:val="32"/>
    </w:rPr>
  </w:style>
  <w:style w:type="character" w:customStyle="1" w:styleId="121">
    <w:name w:val="标题 2 字符"/>
    <w:link w:val="6"/>
    <w:qFormat/>
    <w:uiPriority w:val="0"/>
    <w:rPr>
      <w:rFonts w:ascii="Cambria" w:hAnsi="Cambria"/>
      <w:b/>
      <w:bCs/>
      <w:i/>
      <w:iCs/>
      <w:kern w:val="2"/>
      <w:sz w:val="28"/>
      <w:szCs w:val="28"/>
    </w:rPr>
  </w:style>
  <w:style w:type="character" w:customStyle="1" w:styleId="122">
    <w:name w:val="标题5 Char Char"/>
    <w:link w:val="123"/>
    <w:qFormat/>
    <w:uiPriority w:val="0"/>
    <w:rPr>
      <w:rFonts w:ascii="Arial" w:hAnsi="Arial"/>
      <w:b/>
      <w:bCs/>
      <w:sz w:val="24"/>
      <w:szCs w:val="32"/>
    </w:rPr>
  </w:style>
  <w:style w:type="paragraph" w:customStyle="1" w:styleId="123">
    <w:name w:val="标题5"/>
    <w:basedOn w:val="7"/>
    <w:link w:val="122"/>
    <w:qFormat/>
    <w:uiPriority w:val="0"/>
    <w:pPr>
      <w:keepLines/>
      <w:spacing w:before="260" w:after="260" w:line="413" w:lineRule="auto"/>
    </w:pPr>
    <w:rPr>
      <w:rFonts w:ascii="Arial" w:hAnsi="Arial"/>
      <w:kern w:val="0"/>
      <w:sz w:val="24"/>
      <w:szCs w:val="32"/>
    </w:rPr>
  </w:style>
  <w:style w:type="character" w:customStyle="1" w:styleId="124">
    <w:name w:val="不明显强调1"/>
    <w:qFormat/>
    <w:uiPriority w:val="0"/>
    <w:rPr>
      <w:i/>
      <w:iCs/>
      <w:color w:val="808080"/>
    </w:rPr>
  </w:style>
  <w:style w:type="character" w:customStyle="1" w:styleId="125">
    <w:name w:val="标题 4 字符"/>
    <w:link w:val="8"/>
    <w:qFormat/>
    <w:uiPriority w:val="0"/>
    <w:rPr>
      <w:rFonts w:asciiTheme="majorHAnsi" w:hAnsiTheme="majorHAnsi" w:eastAsiaTheme="majorEastAsia" w:cstheme="majorBidi"/>
      <w:b/>
      <w:bCs/>
      <w:kern w:val="2"/>
      <w:sz w:val="28"/>
      <w:szCs w:val="28"/>
    </w:rPr>
  </w:style>
  <w:style w:type="character" w:customStyle="1" w:styleId="126">
    <w:name w:val="批注文字 Char Char"/>
    <w:qFormat/>
    <w:uiPriority w:val="0"/>
    <w:rPr>
      <w:rFonts w:ascii="宋体" w:hAnsi="Times New Roman" w:eastAsia="宋体" w:cs="Times New Roman"/>
      <w:sz w:val="28"/>
      <w:szCs w:val="20"/>
    </w:rPr>
  </w:style>
  <w:style w:type="character" w:customStyle="1" w:styleId="127">
    <w:name w:val="日期 Char1"/>
    <w:qFormat/>
    <w:uiPriority w:val="0"/>
    <w:rPr>
      <w:kern w:val="2"/>
      <w:sz w:val="21"/>
      <w:szCs w:val="22"/>
    </w:rPr>
  </w:style>
  <w:style w:type="character" w:customStyle="1" w:styleId="128">
    <w:name w:val="明显强调1"/>
    <w:qFormat/>
    <w:uiPriority w:val="0"/>
    <w:rPr>
      <w:b/>
      <w:bCs/>
      <w:i/>
      <w:iCs/>
      <w:color w:val="4F81BD"/>
    </w:rPr>
  </w:style>
  <w:style w:type="character" w:customStyle="1" w:styleId="129">
    <w:name w:val="文档结构图 Char1"/>
    <w:qFormat/>
    <w:uiPriority w:val="0"/>
    <w:rPr>
      <w:rFonts w:ascii="宋体"/>
      <w:kern w:val="2"/>
      <w:sz w:val="18"/>
      <w:szCs w:val="18"/>
    </w:rPr>
  </w:style>
  <w:style w:type="character" w:customStyle="1" w:styleId="130">
    <w:name w:val="textcontents"/>
    <w:qFormat/>
    <w:uiPriority w:val="0"/>
    <w:rPr>
      <w:rFonts w:cs="Times New Roman"/>
    </w:rPr>
  </w:style>
  <w:style w:type="character" w:customStyle="1" w:styleId="131">
    <w:name w:val="批注框文本 Char1"/>
    <w:qFormat/>
    <w:uiPriority w:val="0"/>
    <w:rPr>
      <w:kern w:val="2"/>
      <w:sz w:val="18"/>
      <w:szCs w:val="18"/>
    </w:rPr>
  </w:style>
  <w:style w:type="character" w:customStyle="1" w:styleId="132">
    <w:name w:val="明显参考1"/>
    <w:qFormat/>
    <w:uiPriority w:val="0"/>
    <w:rPr>
      <w:b/>
      <w:bCs/>
      <w:smallCaps/>
      <w:color w:val="C0504D"/>
      <w:spacing w:val="5"/>
      <w:u w:val="single"/>
    </w:rPr>
  </w:style>
  <w:style w:type="character" w:customStyle="1" w:styleId="133">
    <w:name w:val="书籍标题1"/>
    <w:qFormat/>
    <w:uiPriority w:val="0"/>
    <w:rPr>
      <w:b/>
      <w:bCs/>
      <w:smallCaps/>
      <w:spacing w:val="5"/>
    </w:rPr>
  </w:style>
  <w:style w:type="character" w:customStyle="1" w:styleId="134">
    <w:name w:val="不明显参考1"/>
    <w:qFormat/>
    <w:uiPriority w:val="0"/>
    <w:rPr>
      <w:smallCaps/>
      <w:color w:val="C0504D"/>
      <w:u w:val="single"/>
    </w:rPr>
  </w:style>
  <w:style w:type="character" w:customStyle="1" w:styleId="135">
    <w:name w:val="明显引用 字符"/>
    <w:link w:val="136"/>
    <w:qFormat/>
    <w:uiPriority w:val="0"/>
    <w:rPr>
      <w:b/>
      <w:bCs/>
      <w:i/>
      <w:iCs/>
      <w:color w:val="4F81BD"/>
      <w:kern w:val="2"/>
      <w:sz w:val="21"/>
      <w:szCs w:val="22"/>
    </w:rPr>
  </w:style>
  <w:style w:type="paragraph" w:styleId="136">
    <w:name w:val="Intense Quote"/>
    <w:basedOn w:val="1"/>
    <w:next w:val="1"/>
    <w:link w:val="135"/>
    <w:qFormat/>
    <w:uiPriority w:val="0"/>
    <w:pPr>
      <w:pBdr>
        <w:bottom w:val="single" w:color="4F81BD" w:sz="4" w:space="4"/>
      </w:pBdr>
      <w:spacing w:before="200" w:after="280"/>
      <w:ind w:left="936" w:right="936"/>
    </w:pPr>
    <w:rPr>
      <w:b/>
      <w:bCs/>
      <w:i/>
      <w:iCs/>
      <w:color w:val="4F81BD"/>
      <w:szCs w:val="22"/>
    </w:rPr>
  </w:style>
  <w:style w:type="character" w:customStyle="1" w:styleId="137">
    <w:name w:val="明显引用 字符1"/>
    <w:basedOn w:val="39"/>
    <w:qFormat/>
    <w:uiPriority w:val="99"/>
    <w:rPr>
      <w:i/>
      <w:iCs/>
      <w:color w:val="4F81BD" w:themeColor="accent1"/>
      <w:kern w:val="2"/>
      <w:sz w:val="21"/>
      <w:szCs w:val="24"/>
      <w14:textFill>
        <w14:solidFill>
          <w14:schemeClr w14:val="accent1"/>
        </w14:solidFill>
      </w14:textFill>
    </w:rPr>
  </w:style>
  <w:style w:type="character" w:customStyle="1" w:styleId="138">
    <w:name w:val="标题 3 字符"/>
    <w:qFormat/>
    <w:uiPriority w:val="0"/>
    <w:rPr>
      <w:b/>
      <w:bCs/>
      <w:kern w:val="2"/>
      <w:sz w:val="32"/>
      <w:szCs w:val="32"/>
    </w:rPr>
  </w:style>
  <w:style w:type="character" w:customStyle="1" w:styleId="139">
    <w:name w:val="标题 5 字符"/>
    <w:link w:val="9"/>
    <w:qFormat/>
    <w:uiPriority w:val="0"/>
    <w:rPr>
      <w:b/>
      <w:bCs/>
      <w:iCs/>
      <w:kern w:val="2"/>
      <w:sz w:val="26"/>
      <w:szCs w:val="26"/>
    </w:rPr>
  </w:style>
  <w:style w:type="character" w:customStyle="1" w:styleId="140">
    <w:name w:val="标题4 Char Char"/>
    <w:link w:val="69"/>
    <w:qFormat/>
    <w:uiPriority w:val="0"/>
    <w:rPr>
      <w:rFonts w:asciiTheme="majorHAnsi" w:hAnsiTheme="majorHAnsi" w:eastAsiaTheme="majorEastAsia" w:cstheme="majorBidi"/>
      <w:b/>
      <w:bCs/>
      <w:kern w:val="2"/>
      <w:sz w:val="28"/>
      <w:szCs w:val="28"/>
    </w:rPr>
  </w:style>
  <w:style w:type="character" w:customStyle="1" w:styleId="141">
    <w:name w:val="批注主题 Char1"/>
    <w:qFormat/>
    <w:uiPriority w:val="0"/>
    <w:rPr>
      <w:b/>
      <w:bCs/>
      <w:kern w:val="2"/>
      <w:sz w:val="21"/>
      <w:szCs w:val="22"/>
    </w:rPr>
  </w:style>
  <w:style w:type="character" w:customStyle="1" w:styleId="142">
    <w:name w:val="正文文本 Char1"/>
    <w:qFormat/>
    <w:uiPriority w:val="0"/>
    <w:rPr>
      <w:kern w:val="2"/>
      <w:sz w:val="21"/>
      <w:szCs w:val="22"/>
    </w:rPr>
  </w:style>
  <w:style w:type="character" w:customStyle="1" w:styleId="143">
    <w:name w:val="引用 字符"/>
    <w:link w:val="144"/>
    <w:qFormat/>
    <w:uiPriority w:val="0"/>
    <w:rPr>
      <w:i/>
      <w:iCs/>
      <w:color w:val="000000"/>
      <w:kern w:val="2"/>
      <w:sz w:val="21"/>
      <w:szCs w:val="22"/>
    </w:rPr>
  </w:style>
  <w:style w:type="paragraph" w:styleId="144">
    <w:name w:val="Quote"/>
    <w:basedOn w:val="1"/>
    <w:next w:val="1"/>
    <w:link w:val="143"/>
    <w:qFormat/>
    <w:uiPriority w:val="0"/>
    <w:rPr>
      <w:i/>
      <w:iCs/>
      <w:color w:val="000000"/>
      <w:szCs w:val="22"/>
    </w:rPr>
  </w:style>
  <w:style w:type="character" w:customStyle="1" w:styleId="145">
    <w:name w:val="引用 字符1"/>
    <w:basedOn w:val="39"/>
    <w:qFormat/>
    <w:uiPriority w:val="99"/>
    <w:rPr>
      <w:i/>
      <w:iCs/>
      <w:color w:val="404040" w:themeColor="text1" w:themeTint="BF"/>
      <w:kern w:val="2"/>
      <w:sz w:val="21"/>
      <w:szCs w:val="24"/>
      <w14:textFill>
        <w14:solidFill>
          <w14:schemeClr w14:val="tx1">
            <w14:lumMod w14:val="75000"/>
            <w14:lumOff w14:val="25000"/>
          </w14:schemeClr>
        </w14:solidFill>
      </w14:textFill>
    </w:rPr>
  </w:style>
  <w:style w:type="paragraph" w:customStyle="1" w:styleId="146">
    <w:name w:val="空半行"/>
    <w:basedOn w:val="1"/>
    <w:qFormat/>
    <w:uiPriority w:val="0"/>
    <w:pPr>
      <w:adjustRightInd w:val="0"/>
      <w:spacing w:line="120" w:lineRule="exact"/>
      <w:textAlignment w:val="baseline"/>
    </w:pPr>
    <w:rPr>
      <w:rFonts w:eastAsia="仿宋_GB2312"/>
      <w:color w:val="FFFFFF"/>
      <w:kern w:val="0"/>
      <w:sz w:val="30"/>
      <w:szCs w:val="20"/>
    </w:rPr>
  </w:style>
  <w:style w:type="paragraph" w:customStyle="1" w:styleId="147">
    <w:name w:val="修订1"/>
    <w:qFormat/>
    <w:uiPriority w:val="0"/>
    <w:rPr>
      <w:rFonts w:ascii="Times New Roman" w:hAnsi="Times New Roman" w:eastAsia="宋体" w:cs="Times New Roman"/>
      <w:kern w:val="2"/>
      <w:sz w:val="21"/>
      <w:szCs w:val="24"/>
      <w:lang w:val="en-US" w:eastAsia="zh-CN" w:bidi="ar-SA"/>
    </w:rPr>
  </w:style>
  <w:style w:type="paragraph" w:customStyle="1" w:styleId="148">
    <w:name w:val="样式 标题 3 + (中文) 黑体 小四 非加粗 段前: 7.8 磅 段后: 0 磅 行距: 固定值 20 磅"/>
    <w:basedOn w:val="7"/>
    <w:qFormat/>
    <w:uiPriority w:val="0"/>
    <w:pPr>
      <w:keepLines/>
      <w:spacing w:before="0" w:after="0" w:line="400" w:lineRule="exact"/>
    </w:pPr>
    <w:rPr>
      <w:rFonts w:ascii="Times New Roman" w:hAnsi="Times New Roman" w:eastAsia="黑体" w:cs="宋体"/>
      <w:b w:val="0"/>
      <w:bCs w:val="0"/>
      <w:sz w:val="24"/>
      <w:szCs w:val="20"/>
    </w:rPr>
  </w:style>
  <w:style w:type="paragraph" w:customStyle="1" w:styleId="149">
    <w:name w:val="样式 标题 2 + Times New Roman 四号 非加粗 段前: 5 磅 段后: 0 磅 行距: 固定值 20..."/>
    <w:basedOn w:val="6"/>
    <w:qFormat/>
    <w:uiPriority w:val="0"/>
    <w:pPr>
      <w:keepLines/>
      <w:spacing w:before="100" w:after="0" w:line="400" w:lineRule="exact"/>
    </w:pPr>
    <w:rPr>
      <w:rFonts w:ascii="Times New Roman" w:hAnsi="Times New Roman" w:eastAsia="黑体" w:cs="宋体"/>
      <w:b w:val="0"/>
      <w:bCs w:val="0"/>
      <w:i w:val="0"/>
      <w:iCs w:val="0"/>
      <w:kern w:val="0"/>
      <w:szCs w:val="20"/>
    </w:rPr>
  </w:style>
  <w:style w:type="paragraph" w:styleId="150">
    <w:name w:val="No Spacing"/>
    <w:qFormat/>
    <w:uiPriority w:val="0"/>
    <w:pPr>
      <w:widowControl w:val="0"/>
      <w:jc w:val="both"/>
    </w:pPr>
    <w:rPr>
      <w:rFonts w:ascii="Times New Roman" w:hAnsi="Times New Roman" w:eastAsia="宋体" w:cs="Times New Roman"/>
      <w:kern w:val="2"/>
      <w:sz w:val="21"/>
      <w:szCs w:val="22"/>
      <w:lang w:val="en-US" w:eastAsia="zh-CN" w:bidi="ar-SA"/>
    </w:rPr>
  </w:style>
  <w:style w:type="paragraph" w:customStyle="1" w:styleId="151">
    <w:name w:val="flNote"/>
    <w:basedOn w:val="1"/>
    <w:qFormat/>
    <w:uiPriority w:val="0"/>
    <w:pPr>
      <w:adjustRightInd w:val="0"/>
      <w:spacing w:before="320" w:after="160" w:line="360" w:lineRule="atLeast"/>
      <w:jc w:val="center"/>
      <w:textAlignment w:val="baseline"/>
    </w:pPr>
    <w:rPr>
      <w:rFonts w:ascii="Arial" w:eastAsia="黑体"/>
      <w:kern w:val="0"/>
      <w:sz w:val="30"/>
      <w:szCs w:val="20"/>
    </w:rPr>
  </w:style>
  <w:style w:type="paragraph" w:customStyle="1" w:styleId="152">
    <w:name w:val="_Style 2"/>
    <w:basedOn w:val="5"/>
    <w:next w:val="1"/>
    <w:qFormat/>
    <w:uiPriority w:val="0"/>
    <w:pPr>
      <w:spacing w:line="576" w:lineRule="auto"/>
      <w:outlineLvl w:val="9"/>
    </w:pPr>
  </w:style>
  <w:style w:type="character" w:customStyle="1" w:styleId="153">
    <w:name w:val="标题 3 字符1"/>
    <w:basedOn w:val="39"/>
    <w:link w:val="7"/>
    <w:qFormat/>
    <w:uiPriority w:val="0"/>
    <w:rPr>
      <w:rFonts w:ascii="Cambria" w:hAnsi="Cambria"/>
      <w:b/>
      <w:bCs/>
      <w:kern w:val="2"/>
      <w:sz w:val="26"/>
      <w:szCs w:val="26"/>
    </w:rPr>
  </w:style>
  <w:style w:type="table" w:customStyle="1" w:styleId="154">
    <w:name w:val="网格型1"/>
    <w:basedOn w:val="37"/>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55">
    <w:name w:val="Revision"/>
    <w:hidden/>
    <w:semiHidden/>
    <w:qFormat/>
    <w:uiPriority w:val="99"/>
    <w:rPr>
      <w:rFonts w:ascii="Times New Roman" w:hAnsi="Times New Roman" w:eastAsia="宋体" w:cs="Times New Roman"/>
      <w:kern w:val="2"/>
      <w:sz w:val="21"/>
      <w:szCs w:val="24"/>
      <w:lang w:val="en-US" w:eastAsia="zh-CN" w:bidi="ar-SA"/>
    </w:rPr>
  </w:style>
  <w:style w:type="character" w:customStyle="1" w:styleId="156">
    <w:name w:val="Unresolved Mention"/>
    <w:basedOn w:val="39"/>
    <w:semiHidden/>
    <w:unhideWhenUsed/>
    <w:qFormat/>
    <w:uiPriority w:val="99"/>
    <w:rPr>
      <w:color w:val="605E5C"/>
      <w:shd w:val="clear" w:color="auto" w:fill="E1DFDD"/>
    </w:rPr>
  </w:style>
  <w:style w:type="character" w:customStyle="1" w:styleId="157">
    <w:name w:val="正文文本 字符1"/>
    <w:basedOn w:val="39"/>
    <w:qFormat/>
    <w:uiPriority w:val="0"/>
    <w:rPr>
      <w:sz w:val="24"/>
      <w:szCs w:val="24"/>
      <w:lang w:eastAsia="en-US" w:bidi="en-US"/>
    </w:rPr>
  </w:style>
  <w:style w:type="paragraph" w:customStyle="1" w:styleId="158">
    <w:name w:val="paragraph"/>
    <w:basedOn w:val="1"/>
    <w:semiHidden/>
    <w:qFormat/>
    <w:uiPriority w:val="0"/>
    <w:pPr>
      <w:widowControl/>
      <w:spacing w:before="100" w:beforeAutospacing="1" w:after="100" w:afterAutospacing="1"/>
    </w:pPr>
    <w:rPr>
      <w:rFonts w:ascii="等线" w:hAnsi="等线" w:eastAsia="等线"/>
      <w:kern w:val="0"/>
    </w:rPr>
  </w:style>
  <w:style w:type="paragraph" w:customStyle="1" w:styleId="159">
    <w:name w:val="列表段落1"/>
    <w:basedOn w:val="1"/>
    <w:qFormat/>
    <w:uiPriority w:val="0"/>
    <w:pPr>
      <w:spacing w:line="360" w:lineRule="auto"/>
      <w:ind w:firstLine="200" w:firstLineChars="200"/>
    </w:pPr>
    <w:rPr>
      <w:color w:val="262626"/>
      <w:kern w:val="0"/>
      <w:sz w:val="20"/>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8" Type="http://schemas.openxmlformats.org/officeDocument/2006/relationships/fontTable" Target="fontTable.xml"/><Relationship Id="rId37" Type="http://schemas.openxmlformats.org/officeDocument/2006/relationships/customXml" Target="../customXml/item1.xml"/><Relationship Id="rId36" Type="http://schemas.openxmlformats.org/officeDocument/2006/relationships/numbering" Target="numbering.xml"/><Relationship Id="rId35" Type="http://schemas.openxmlformats.org/officeDocument/2006/relationships/image" Target="media/image12.png"/><Relationship Id="rId34" Type="http://schemas.openxmlformats.org/officeDocument/2006/relationships/image" Target="media/image11.png"/><Relationship Id="rId33" Type="http://schemas.openxmlformats.org/officeDocument/2006/relationships/image" Target="media/image10.png"/><Relationship Id="rId32" Type="http://schemas.openxmlformats.org/officeDocument/2006/relationships/image" Target="media/image9.png"/><Relationship Id="rId31" Type="http://schemas.openxmlformats.org/officeDocument/2006/relationships/image" Target="media/image8.png"/><Relationship Id="rId30" Type="http://schemas.openxmlformats.org/officeDocument/2006/relationships/image" Target="media/image7.png"/><Relationship Id="rId3" Type="http://schemas.openxmlformats.org/officeDocument/2006/relationships/header" Target="header1.xml"/><Relationship Id="rId29" Type="http://schemas.openxmlformats.org/officeDocument/2006/relationships/image" Target="media/image6.png"/><Relationship Id="rId28" Type="http://schemas.openxmlformats.org/officeDocument/2006/relationships/image" Target="media/image5.png"/><Relationship Id="rId27" Type="http://schemas.openxmlformats.org/officeDocument/2006/relationships/image" Target="media/image4.png"/><Relationship Id="rId26" Type="http://schemas.openxmlformats.org/officeDocument/2006/relationships/image" Target="media/image3.png"/><Relationship Id="rId25" Type="http://schemas.openxmlformats.org/officeDocument/2006/relationships/image" Target="media/image2.png"/><Relationship Id="rId24" Type="http://schemas.openxmlformats.org/officeDocument/2006/relationships/image" Target="media/image1.jpeg"/><Relationship Id="rId23" Type="http://schemas.openxmlformats.org/officeDocument/2006/relationships/theme" Target="theme/theme1.xml"/><Relationship Id="rId22" Type="http://schemas.openxmlformats.org/officeDocument/2006/relationships/header" Target="header13.xml"/><Relationship Id="rId21" Type="http://schemas.openxmlformats.org/officeDocument/2006/relationships/header" Target="header12.xml"/><Relationship Id="rId20" Type="http://schemas.openxmlformats.org/officeDocument/2006/relationships/header" Target="header11.xml"/><Relationship Id="rId2" Type="http://schemas.openxmlformats.org/officeDocument/2006/relationships/settings" Target="settings.xml"/><Relationship Id="rId19" Type="http://schemas.openxmlformats.org/officeDocument/2006/relationships/header" Target="header10.xml"/><Relationship Id="rId18" Type="http://schemas.openxmlformats.org/officeDocument/2006/relationships/header" Target="header9.xml"/><Relationship Id="rId17" Type="http://schemas.openxmlformats.org/officeDocument/2006/relationships/header" Target="header8.xml"/><Relationship Id="rId16" Type="http://schemas.openxmlformats.org/officeDocument/2006/relationships/footer" Target="footer7.xml"/><Relationship Id="rId15" Type="http://schemas.openxmlformats.org/officeDocument/2006/relationships/header" Target="header7.xml"/><Relationship Id="rId14" Type="http://schemas.openxmlformats.org/officeDocument/2006/relationships/header" Target="header6.xml"/><Relationship Id="rId13" Type="http://schemas.openxmlformats.org/officeDocument/2006/relationships/header" Target="header5.xml"/><Relationship Id="rId12" Type="http://schemas.openxmlformats.org/officeDocument/2006/relationships/footer" Target="footer6.xml"/><Relationship Id="rId11" Type="http://schemas.openxmlformats.org/officeDocument/2006/relationships/footer" Target="foot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29FD1B-6AF8-4F29-BE6D-43AAF2B48833}">
  <ds:schemaRefs/>
</ds:datastoreItem>
</file>

<file path=docProps/app.xml><?xml version="1.0" encoding="utf-8"?>
<Properties xmlns="http://schemas.openxmlformats.org/officeDocument/2006/extended-properties" xmlns:vt="http://schemas.openxmlformats.org/officeDocument/2006/docPropsVTypes">
  <Template>Normal.dotm</Template>
  <Company>Home</Company>
  <Pages>172</Pages>
  <Words>13255</Words>
  <Characters>75560</Characters>
  <Lines>629</Lines>
  <Paragraphs>177</Paragraphs>
  <TotalTime>5</TotalTime>
  <ScaleCrop>false</ScaleCrop>
  <LinksUpToDate>false</LinksUpToDate>
  <CharactersWithSpaces>88638</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2025-09-23T01:51:00Z</dcterms:created>
  <dc:creator>Windows 用户</dc:creator>
  <cp:lastModifiedBy>轻途</cp:lastModifiedBy>
  <cp:lastPrinted>2022-03-12T22:20:00Z</cp:lastPrinted>
  <dcterms:modified xsi:type="dcterms:W3CDTF">2025-10-17T09:48:48Z</dcterms:modified>
  <cp:revision>92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14D7282C4A844B0E94816241A806F53B</vt:lpwstr>
  </property>
</Properties>
</file>