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横拉杆器具及配件采购项目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FSCZB2025100064</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10</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横拉杆器具及配件采购项目招标公告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横拉杆器具及配件采购项目</w:t>
      </w:r>
    </w:p>
    <w:p w14:paraId="15020D03">
      <w:pPr>
        <w:pStyle w:val="73"/>
      </w:pPr>
      <w:r>
        <w:rPr>
          <w:rFonts w:hint="eastAsia"/>
        </w:rPr>
        <w:t>项目编号：</w:t>
      </w:r>
      <w:r>
        <w:rPr>
          <w:rFonts w:hint="eastAsia"/>
          <w:highlight w:val="yellow"/>
        </w:rPr>
        <w:t>FSCZB2025100064</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p>
    <w:tbl>
      <w:tblPr>
        <w:tblStyle w:val="30"/>
        <w:tblW w:w="8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80"/>
        <w:gridCol w:w="4102"/>
        <w:gridCol w:w="3578"/>
      </w:tblGrid>
      <w:tr w14:paraId="2F818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1080" w:type="dxa"/>
            <w:tcBorders>
              <w:top w:val="single" w:color="000000" w:sz="4" w:space="0"/>
              <w:left w:val="single" w:color="000000" w:sz="4" w:space="0"/>
              <w:bottom w:val="single" w:color="000000" w:sz="4" w:space="0"/>
              <w:right w:val="single" w:color="000000" w:sz="4" w:space="0"/>
            </w:tcBorders>
            <w:noWrap/>
            <w:vAlign w:val="center"/>
          </w:tcPr>
          <w:p w14:paraId="0983EF3C">
            <w:pPr>
              <w:keepNext w:val="0"/>
              <w:keepLines w:val="0"/>
              <w:widowControl/>
              <w:suppressLineNumbers w:val="0"/>
              <w:jc w:val="center"/>
              <w:textAlignment w:val="center"/>
              <w:rPr>
                <w:rFonts w:hint="eastAsia" w:ascii="宋体" w:hAnsi="宋体" w:eastAsia="宋体" w:cs="宋体"/>
                <w:b/>
                <w:bCs/>
                <w:i w:val="0"/>
                <w:iCs w:val="0"/>
                <w:color w:val="000000"/>
                <w:sz w:val="16"/>
                <w:szCs w:val="16"/>
                <w:highlight w:val="none"/>
                <w:u w:val="none"/>
              </w:rPr>
            </w:pPr>
            <w:r>
              <w:rPr>
                <w:rFonts w:hint="eastAsia" w:ascii="宋体" w:hAnsi="宋体" w:eastAsia="宋体" w:cs="宋体"/>
                <w:b/>
                <w:bCs/>
                <w:i w:val="0"/>
                <w:iCs w:val="0"/>
                <w:color w:val="000000"/>
                <w:kern w:val="0"/>
                <w:sz w:val="16"/>
                <w:szCs w:val="16"/>
                <w:highlight w:val="none"/>
                <w:u w:val="none"/>
                <w:lang w:val="en-US" w:eastAsia="zh-CN" w:bidi="ar"/>
              </w:rPr>
              <w:t>序号</w:t>
            </w:r>
          </w:p>
        </w:tc>
        <w:tc>
          <w:tcPr>
            <w:tcW w:w="4102" w:type="dxa"/>
            <w:tcBorders>
              <w:top w:val="single" w:color="000000" w:sz="4" w:space="0"/>
              <w:left w:val="single" w:color="000000" w:sz="4" w:space="0"/>
              <w:bottom w:val="single" w:color="000000" w:sz="4" w:space="0"/>
              <w:right w:val="single" w:color="000000" w:sz="4" w:space="0"/>
            </w:tcBorders>
            <w:noWrap w:val="0"/>
            <w:vAlign w:val="center"/>
          </w:tcPr>
          <w:p w14:paraId="62D837EC">
            <w:pPr>
              <w:keepNext w:val="0"/>
              <w:keepLines w:val="0"/>
              <w:widowControl/>
              <w:suppressLineNumbers w:val="0"/>
              <w:jc w:val="center"/>
              <w:textAlignment w:val="center"/>
              <w:rPr>
                <w:rFonts w:hint="eastAsia" w:ascii="宋体" w:hAnsi="宋体" w:eastAsia="宋体" w:cs="宋体"/>
                <w:b/>
                <w:bCs/>
                <w:i w:val="0"/>
                <w:iCs w:val="0"/>
                <w:color w:val="000000"/>
                <w:sz w:val="16"/>
                <w:szCs w:val="16"/>
                <w:highlight w:val="none"/>
                <w:u w:val="none"/>
              </w:rPr>
            </w:pPr>
            <w:r>
              <w:rPr>
                <w:rFonts w:hint="eastAsia" w:ascii="宋体" w:hAnsi="宋体" w:eastAsia="宋体" w:cs="宋体"/>
                <w:b/>
                <w:bCs/>
                <w:i w:val="0"/>
                <w:iCs w:val="0"/>
                <w:color w:val="000000"/>
                <w:kern w:val="0"/>
                <w:sz w:val="16"/>
                <w:szCs w:val="16"/>
                <w:highlight w:val="none"/>
                <w:u w:val="none"/>
                <w:lang w:val="en-US" w:eastAsia="zh-CN" w:bidi="ar"/>
              </w:rPr>
              <w:t>名称</w:t>
            </w:r>
          </w:p>
        </w:tc>
        <w:tc>
          <w:tcPr>
            <w:tcW w:w="3578" w:type="dxa"/>
            <w:tcBorders>
              <w:top w:val="single" w:color="000000" w:sz="4" w:space="0"/>
              <w:left w:val="single" w:color="000000" w:sz="4" w:space="0"/>
              <w:bottom w:val="single" w:color="000000" w:sz="4" w:space="0"/>
              <w:right w:val="single" w:color="000000" w:sz="4" w:space="0"/>
            </w:tcBorders>
            <w:noWrap/>
            <w:vAlign w:val="center"/>
          </w:tcPr>
          <w:p w14:paraId="03CC56B6">
            <w:pPr>
              <w:keepNext w:val="0"/>
              <w:keepLines w:val="0"/>
              <w:widowControl/>
              <w:suppressLineNumbers w:val="0"/>
              <w:jc w:val="center"/>
              <w:textAlignment w:val="center"/>
              <w:rPr>
                <w:rFonts w:hint="eastAsia" w:ascii="宋体" w:hAnsi="宋体" w:eastAsia="宋体" w:cs="宋体"/>
                <w:b/>
                <w:bCs/>
                <w:i w:val="0"/>
                <w:iCs w:val="0"/>
                <w:color w:val="000000"/>
                <w:sz w:val="16"/>
                <w:szCs w:val="16"/>
                <w:highlight w:val="none"/>
                <w:u w:val="none"/>
              </w:rPr>
            </w:pPr>
            <w:r>
              <w:rPr>
                <w:rFonts w:hint="eastAsia" w:ascii="宋体" w:hAnsi="宋体" w:eastAsia="宋体" w:cs="宋体"/>
                <w:b/>
                <w:bCs/>
                <w:i w:val="0"/>
                <w:iCs w:val="0"/>
                <w:color w:val="000000"/>
                <w:kern w:val="0"/>
                <w:sz w:val="16"/>
                <w:szCs w:val="16"/>
                <w:highlight w:val="none"/>
                <w:u w:val="none"/>
                <w:lang w:val="en-US" w:eastAsia="zh-CN" w:bidi="ar"/>
              </w:rPr>
              <w:t>服务对象</w:t>
            </w:r>
          </w:p>
        </w:tc>
      </w:tr>
      <w:tr w14:paraId="079E1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6530B70">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1</w:t>
            </w:r>
          </w:p>
        </w:tc>
        <w:tc>
          <w:tcPr>
            <w:tcW w:w="4102" w:type="dxa"/>
            <w:tcBorders>
              <w:top w:val="single" w:color="000000" w:sz="4" w:space="0"/>
              <w:left w:val="single" w:color="000000" w:sz="4" w:space="0"/>
              <w:bottom w:val="single" w:color="000000" w:sz="4" w:space="0"/>
              <w:right w:val="single" w:color="000000" w:sz="4" w:space="0"/>
            </w:tcBorders>
            <w:noWrap w:val="0"/>
            <w:vAlign w:val="center"/>
          </w:tcPr>
          <w:p w14:paraId="5AF7B1A6">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sz w:val="16"/>
                <w:szCs w:val="16"/>
                <w:highlight w:val="none"/>
                <w:u w:val="none"/>
              </w:rPr>
              <w:t>横拉杆发交专用工位器具</w:t>
            </w:r>
          </w:p>
        </w:tc>
        <w:tc>
          <w:tcPr>
            <w:tcW w:w="3578" w:type="dxa"/>
            <w:tcBorders>
              <w:top w:val="single" w:color="000000" w:sz="4" w:space="0"/>
              <w:left w:val="single" w:color="000000" w:sz="4" w:space="0"/>
              <w:bottom w:val="single" w:color="000000" w:sz="4" w:space="0"/>
              <w:right w:val="single" w:color="000000" w:sz="4" w:space="0"/>
            </w:tcBorders>
            <w:noWrap w:val="0"/>
            <w:vAlign w:val="center"/>
          </w:tcPr>
          <w:p w14:paraId="6265C783">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rPr>
            </w:pPr>
            <w:r>
              <w:rPr>
                <w:rFonts w:hint="eastAsia" w:ascii="宋体" w:hAnsi="宋体" w:eastAsia="宋体" w:cs="宋体"/>
                <w:i w:val="0"/>
                <w:iCs w:val="0"/>
                <w:color w:val="000000"/>
                <w:kern w:val="0"/>
                <w:sz w:val="16"/>
                <w:szCs w:val="16"/>
                <w:highlight w:val="none"/>
                <w:u w:val="none"/>
                <w:lang w:val="en-US" w:eastAsia="zh-CN" w:bidi="ar"/>
              </w:rPr>
              <w:t>中国重汽集团济南汽车部件有限公司</w:t>
            </w:r>
          </w:p>
        </w:tc>
      </w:tr>
      <w:tr w14:paraId="0662D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5F49FDE0">
            <w:pPr>
              <w:keepNext w:val="0"/>
              <w:keepLines w:val="0"/>
              <w:widowControl/>
              <w:suppressLineNumbers w:val="0"/>
              <w:jc w:val="center"/>
              <w:textAlignment w:val="center"/>
              <w:rPr>
                <w:rFonts w:hint="default"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2</w:t>
            </w:r>
          </w:p>
        </w:tc>
        <w:tc>
          <w:tcPr>
            <w:tcW w:w="4102" w:type="dxa"/>
            <w:tcBorders>
              <w:top w:val="single" w:color="000000" w:sz="4" w:space="0"/>
              <w:left w:val="single" w:color="000000" w:sz="4" w:space="0"/>
              <w:bottom w:val="single" w:color="000000" w:sz="4" w:space="0"/>
              <w:right w:val="single" w:color="000000" w:sz="4" w:space="0"/>
            </w:tcBorders>
            <w:noWrap w:val="0"/>
            <w:vAlign w:val="center"/>
          </w:tcPr>
          <w:p w14:paraId="65110F60">
            <w:pPr>
              <w:keepNext w:val="0"/>
              <w:keepLines w:val="0"/>
              <w:widowControl/>
              <w:suppressLineNumbers w:val="0"/>
              <w:jc w:val="center"/>
              <w:textAlignment w:val="center"/>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横拉杆四凹防护900*40*50mm</w:t>
            </w:r>
          </w:p>
        </w:tc>
        <w:tc>
          <w:tcPr>
            <w:tcW w:w="3578" w:type="dxa"/>
            <w:tcBorders>
              <w:top w:val="single" w:color="000000" w:sz="4" w:space="0"/>
              <w:left w:val="single" w:color="000000" w:sz="4" w:space="0"/>
              <w:bottom w:val="single" w:color="000000" w:sz="4" w:space="0"/>
              <w:right w:val="single" w:color="000000" w:sz="4" w:space="0"/>
            </w:tcBorders>
            <w:noWrap w:val="0"/>
            <w:vAlign w:val="center"/>
          </w:tcPr>
          <w:p w14:paraId="05D12875">
            <w:pPr>
              <w:keepNext w:val="0"/>
              <w:keepLines w:val="0"/>
              <w:widowControl/>
              <w:suppressLineNumbers w:val="0"/>
              <w:jc w:val="center"/>
              <w:textAlignment w:val="center"/>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中国重汽集团济南汽车部件有限公司</w:t>
            </w:r>
          </w:p>
        </w:tc>
      </w:tr>
      <w:tr w14:paraId="588F8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14:paraId="387DB92C">
            <w:pPr>
              <w:keepNext w:val="0"/>
              <w:keepLines w:val="0"/>
              <w:widowControl/>
              <w:suppressLineNumbers w:val="0"/>
              <w:jc w:val="center"/>
              <w:textAlignment w:val="center"/>
              <w:rPr>
                <w:rFonts w:hint="default"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3</w:t>
            </w:r>
          </w:p>
        </w:tc>
        <w:tc>
          <w:tcPr>
            <w:tcW w:w="4102" w:type="dxa"/>
            <w:tcBorders>
              <w:top w:val="single" w:color="000000" w:sz="4" w:space="0"/>
              <w:left w:val="single" w:color="000000" w:sz="4" w:space="0"/>
              <w:bottom w:val="single" w:color="000000" w:sz="4" w:space="0"/>
              <w:right w:val="single" w:color="000000" w:sz="4" w:space="0"/>
            </w:tcBorders>
            <w:noWrap w:val="0"/>
            <w:vAlign w:val="center"/>
          </w:tcPr>
          <w:p w14:paraId="1AAD1079">
            <w:pPr>
              <w:keepNext w:val="0"/>
              <w:keepLines w:val="0"/>
              <w:widowControl/>
              <w:suppressLineNumbers w:val="0"/>
              <w:jc w:val="center"/>
              <w:textAlignment w:val="center"/>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V推发交器具半圆防护120*50*80mm</w:t>
            </w:r>
          </w:p>
        </w:tc>
        <w:tc>
          <w:tcPr>
            <w:tcW w:w="3578" w:type="dxa"/>
            <w:tcBorders>
              <w:top w:val="single" w:color="000000" w:sz="4" w:space="0"/>
              <w:left w:val="single" w:color="000000" w:sz="4" w:space="0"/>
              <w:bottom w:val="single" w:color="000000" w:sz="4" w:space="0"/>
              <w:right w:val="single" w:color="000000" w:sz="4" w:space="0"/>
            </w:tcBorders>
            <w:noWrap w:val="0"/>
            <w:vAlign w:val="center"/>
          </w:tcPr>
          <w:p w14:paraId="39A80148">
            <w:pPr>
              <w:keepNext w:val="0"/>
              <w:keepLines w:val="0"/>
              <w:widowControl/>
              <w:suppressLineNumbers w:val="0"/>
              <w:jc w:val="center"/>
              <w:textAlignment w:val="center"/>
              <w:rPr>
                <w:rFonts w:hint="eastAsia" w:ascii="宋体" w:hAnsi="宋体" w:eastAsia="宋体" w:cs="宋体"/>
                <w:i w:val="0"/>
                <w:iCs w:val="0"/>
                <w:color w:val="000000"/>
                <w:kern w:val="0"/>
                <w:sz w:val="16"/>
                <w:szCs w:val="16"/>
                <w:highlight w:val="none"/>
                <w:u w:val="none"/>
                <w:lang w:val="en-US" w:eastAsia="zh-CN" w:bidi="ar"/>
              </w:rPr>
            </w:pPr>
            <w:r>
              <w:rPr>
                <w:rFonts w:hint="eastAsia" w:ascii="宋体" w:hAnsi="宋体" w:eastAsia="宋体" w:cs="宋体"/>
                <w:i w:val="0"/>
                <w:iCs w:val="0"/>
                <w:color w:val="000000"/>
                <w:kern w:val="0"/>
                <w:sz w:val="16"/>
                <w:szCs w:val="16"/>
                <w:highlight w:val="none"/>
                <w:u w:val="none"/>
                <w:lang w:val="en-US" w:eastAsia="zh-CN" w:bidi="ar"/>
              </w:rPr>
              <w:t>中国重汽集团济南汽车部件有限公司</w:t>
            </w:r>
          </w:p>
        </w:tc>
      </w:tr>
    </w:tbl>
    <w:p w14:paraId="13B6EF71">
      <w:pPr>
        <w:pStyle w:val="73"/>
        <w:numPr>
          <w:numId w:val="0"/>
        </w:numPr>
      </w:pPr>
    </w:p>
    <w:p w14:paraId="4EC58B63">
      <w:pPr>
        <w:pStyle w:val="73"/>
      </w:pPr>
      <w:r>
        <w:rPr>
          <w:rFonts w:hint="eastAsia"/>
        </w:rPr>
        <w:t>招标形式：</w:t>
      </w:r>
      <w:r>
        <w:rPr>
          <w:rFonts w:hint="eastAsia"/>
          <w:highlight w:val="yellow"/>
        </w:rPr>
        <w:t>公开招标</w:t>
      </w:r>
    </w:p>
    <w:p w14:paraId="0B813421">
      <w:pPr>
        <w:pStyle w:val="72"/>
        <w:rPr>
          <w:highlight w:val="yellow"/>
        </w:rPr>
      </w:pPr>
      <w:bookmarkStart w:id="5" w:name="_Toc47976590"/>
      <w:r>
        <w:rPr>
          <w:rFonts w:hint="eastAsia"/>
          <w:highlight w:val="yellow"/>
        </w:rPr>
        <w:t>投标人资格要求</w:t>
      </w:r>
      <w:bookmarkEnd w:id="5"/>
    </w:p>
    <w:p w14:paraId="28BE61D3">
      <w:pPr>
        <w:pStyle w:val="14"/>
        <w:spacing w:line="360" w:lineRule="auto"/>
        <w:ind w:firstLine="420" w:firstLineChars="200"/>
        <w:rPr>
          <w:rFonts w:hint="eastAsia"/>
          <w:b/>
          <w:highlight w:val="none"/>
        </w:rPr>
      </w:pPr>
      <w:r>
        <w:rPr>
          <w:rFonts w:hint="eastAsia" w:hAnsi="宋体"/>
          <w:highlight w:val="none"/>
        </w:rPr>
        <w:t>⑴</w:t>
      </w:r>
      <w:r>
        <w:rPr>
          <w:rFonts w:hint="eastAsia"/>
          <w:highlight w:val="none"/>
        </w:rPr>
        <w:t>投标人须遵守《中华人民共和国招标投标法》、</w:t>
      </w:r>
      <w:r>
        <w:rPr>
          <w:highlight w:val="none"/>
        </w:rPr>
        <w:t>《中华人民共和国民法典》</w:t>
      </w:r>
      <w:r>
        <w:rPr>
          <w:rFonts w:hint="eastAsia"/>
          <w:highlight w:val="none"/>
        </w:rPr>
        <w:t>及其它有关的法律和法规；为中华人民共和国境内注册的独立法人机构，具有独立承担民事责任能力；</w:t>
      </w:r>
    </w:p>
    <w:p w14:paraId="03C03387">
      <w:pPr>
        <w:pStyle w:val="14"/>
        <w:spacing w:line="360" w:lineRule="auto"/>
        <w:ind w:firstLine="420" w:firstLineChars="200"/>
        <w:rPr>
          <w:highlight w:val="none"/>
        </w:rPr>
      </w:pPr>
      <w:r>
        <w:rPr>
          <w:rFonts w:hint="eastAsia" w:hAnsi="宋体"/>
          <w:bCs/>
          <w:highlight w:val="none"/>
        </w:rPr>
        <w:t>⑵</w:t>
      </w:r>
      <w:r>
        <w:rPr>
          <w:rFonts w:hint="eastAsia"/>
          <w:bCs/>
          <w:highlight w:val="none"/>
        </w:rPr>
        <w:t>公司成立三年及以上（以营业执照成立日期到开标当日满三年为准），经营范围满足招标项目需求</w:t>
      </w:r>
      <w:r>
        <w:rPr>
          <w:rFonts w:hint="eastAsia"/>
          <w:bCs/>
          <w:highlight w:val="none"/>
          <w:lang w:eastAsia="zh-CN"/>
        </w:rPr>
        <w:t>，</w:t>
      </w:r>
      <w:r>
        <w:rPr>
          <w:rFonts w:hint="eastAsia"/>
          <w:bCs/>
          <w:highlight w:val="none"/>
          <w:lang w:val="en-US" w:eastAsia="zh-CN"/>
        </w:rPr>
        <w:t>注册资金不少于100万元</w:t>
      </w:r>
      <w:r>
        <w:rPr>
          <w:rFonts w:hint="eastAsia"/>
          <w:bCs/>
          <w:highlight w:val="none"/>
        </w:rPr>
        <w:t>；</w:t>
      </w:r>
    </w:p>
    <w:p w14:paraId="323FB8C3">
      <w:pPr>
        <w:spacing w:line="360" w:lineRule="auto"/>
        <w:ind w:firstLine="420" w:firstLineChars="200"/>
        <w:rPr>
          <w:rFonts w:ascii="宋体" w:hAnsi="Courier New"/>
          <w:highlight w:val="none"/>
        </w:rPr>
      </w:pPr>
      <w:r>
        <w:rPr>
          <w:rFonts w:hint="eastAsia"/>
          <w:highlight w:val="none"/>
        </w:rPr>
        <w:t>(</w:t>
      </w:r>
      <w:r>
        <w:rPr>
          <w:highlight w:val="none"/>
        </w:rPr>
        <w:t>3)</w:t>
      </w:r>
      <w:r>
        <w:rPr>
          <w:rFonts w:hint="eastAsia"/>
          <w:highlight w:val="none"/>
        </w:rPr>
        <w:t>投标人须具有全面的履约能力；</w:t>
      </w:r>
    </w:p>
    <w:p w14:paraId="4D34876D">
      <w:pPr>
        <w:pStyle w:val="14"/>
        <w:spacing w:line="360" w:lineRule="auto"/>
        <w:ind w:firstLine="420" w:firstLineChars="200"/>
        <w:rPr>
          <w:rFonts w:hint="eastAsia"/>
          <w:b/>
          <w:highlight w:val="none"/>
        </w:rPr>
      </w:pPr>
      <w:r>
        <w:rPr>
          <w:rFonts w:hint="eastAsia" w:hAnsi="宋体"/>
          <w:highlight w:val="none"/>
        </w:rPr>
        <w:t>(</w:t>
      </w:r>
      <w:r>
        <w:rPr>
          <w:rFonts w:hAnsi="宋体"/>
          <w:highlight w:val="none"/>
        </w:rPr>
        <w:t>4)</w:t>
      </w:r>
      <w:r>
        <w:rPr>
          <w:rFonts w:hint="eastAsia" w:hAnsi="宋体"/>
          <w:highlight w:val="none"/>
        </w:rPr>
        <w:t>单</w:t>
      </w:r>
      <w:r>
        <w:rPr>
          <w:rFonts w:hint="eastAsia"/>
          <w:highlight w:val="none"/>
        </w:rPr>
        <w:t>位</w:t>
      </w:r>
      <w:r>
        <w:rPr>
          <w:highlight w:val="none"/>
        </w:rPr>
        <w:t>负责人为同一人或者存在控股、管理关系的不同投标人，不得参加同一合同项下的招标活动</w:t>
      </w:r>
      <w:r>
        <w:rPr>
          <w:rFonts w:hint="eastAsia"/>
          <w:highlight w:val="none"/>
        </w:rPr>
        <w:t>；</w:t>
      </w:r>
    </w:p>
    <w:p w14:paraId="2317BF7F">
      <w:pPr>
        <w:pStyle w:val="14"/>
        <w:spacing w:line="360" w:lineRule="auto"/>
        <w:ind w:firstLine="420" w:firstLineChars="200"/>
        <w:rPr>
          <w:rFonts w:hAnsi="宋体"/>
          <w:highlight w:val="none"/>
        </w:rPr>
      </w:pPr>
      <w:r>
        <w:rPr>
          <w:rFonts w:hint="eastAsia" w:hAnsi="宋体"/>
          <w:highlight w:val="none"/>
        </w:rPr>
        <w:t>(</w:t>
      </w:r>
      <w:r>
        <w:rPr>
          <w:rFonts w:hAnsi="宋体"/>
          <w:highlight w:val="none"/>
        </w:rPr>
        <w:t>5)</w:t>
      </w:r>
      <w:r>
        <w:rPr>
          <w:rFonts w:hint="eastAsia" w:hAnsi="宋体"/>
          <w:highlight w:val="none"/>
        </w:rPr>
        <w:t>投标人在近三年内在经营活动中无违法记录；</w:t>
      </w:r>
    </w:p>
    <w:p w14:paraId="428B345F">
      <w:pPr>
        <w:pStyle w:val="14"/>
        <w:spacing w:line="360" w:lineRule="auto"/>
        <w:ind w:firstLine="420" w:firstLineChars="200"/>
        <w:rPr>
          <w:rFonts w:hint="eastAsia"/>
          <w:highlight w:val="none"/>
        </w:rPr>
      </w:pPr>
      <w:r>
        <w:rPr>
          <w:rFonts w:hint="eastAsia" w:hAnsi="宋体"/>
          <w:highlight w:val="none"/>
        </w:rPr>
        <w:t>(</w:t>
      </w:r>
      <w:r>
        <w:rPr>
          <w:rFonts w:hAnsi="宋体"/>
          <w:highlight w:val="none"/>
        </w:rPr>
        <w:t>6)</w:t>
      </w:r>
      <w:r>
        <w:rPr>
          <w:rFonts w:hint="eastAsia"/>
          <w:highlight w:val="none"/>
        </w:rPr>
        <w:t>具有健全的财务会计制度，财务状况和市场行为良好。没有处于被有权机关吊销营业执照、吊销资质、停业整顿、取消投标资格以及财产被接管、冻结或进入破产程序等；</w:t>
      </w:r>
    </w:p>
    <w:p w14:paraId="2F533885">
      <w:pPr>
        <w:pStyle w:val="14"/>
        <w:spacing w:line="360" w:lineRule="auto"/>
        <w:ind w:firstLine="420" w:firstLineChars="200"/>
        <w:rPr>
          <w:rFonts w:hint="eastAsia"/>
          <w:highlight w:val="none"/>
        </w:rPr>
      </w:pPr>
      <w:r>
        <w:rPr>
          <w:rFonts w:hint="eastAsia" w:hAnsi="宋体"/>
          <w:highlight w:val="none"/>
        </w:rPr>
        <w:t>(</w:t>
      </w:r>
      <w:r>
        <w:rPr>
          <w:rFonts w:hAnsi="宋体"/>
          <w:highlight w:val="none"/>
        </w:rPr>
        <w:t>7)</w:t>
      </w:r>
      <w:r>
        <w:rPr>
          <w:rFonts w:hint="eastAsia"/>
          <w:highlight w:val="none"/>
        </w:rPr>
        <w:t>投标人没有被列入招标人处《黑名单》（《黑名单》指投标人</w:t>
      </w:r>
      <w:r>
        <w:rPr>
          <w:highlight w:val="none"/>
        </w:rPr>
        <w:t>与招标人在以往</w:t>
      </w:r>
      <w:r>
        <w:rPr>
          <w:rFonts w:hint="eastAsia"/>
          <w:highlight w:val="none"/>
        </w:rPr>
        <w:t>或</w:t>
      </w:r>
      <w:r>
        <w:rPr>
          <w:highlight w:val="none"/>
        </w:rPr>
        <w:t>正在</w:t>
      </w:r>
      <w:r>
        <w:rPr>
          <w:rFonts w:hint="eastAsia"/>
          <w:highlight w:val="none"/>
        </w:rPr>
        <w:t>进行</w:t>
      </w:r>
      <w:r>
        <w:rPr>
          <w:highlight w:val="none"/>
        </w:rPr>
        <w:t>的合作中</w:t>
      </w:r>
      <w:r>
        <w:rPr>
          <w:rFonts w:hint="eastAsia"/>
          <w:highlight w:val="none"/>
        </w:rPr>
        <w:t>，</w:t>
      </w:r>
      <w:r>
        <w:rPr>
          <w:highlight w:val="none"/>
        </w:rPr>
        <w:t>存在</w:t>
      </w:r>
      <w:r>
        <w:rPr>
          <w:rFonts w:hint="eastAsia"/>
          <w:highlight w:val="none"/>
        </w:rPr>
        <w:t>招标人</w:t>
      </w:r>
      <w:r>
        <w:rPr>
          <w:highlight w:val="none"/>
        </w:rPr>
        <w:t>认为的</w:t>
      </w:r>
      <w:r>
        <w:rPr>
          <w:rFonts w:hint="eastAsia"/>
          <w:highlight w:val="none"/>
        </w:rPr>
        <w:t>违反合同</w:t>
      </w:r>
      <w:r>
        <w:rPr>
          <w:highlight w:val="none"/>
        </w:rPr>
        <w:t>约定或</w:t>
      </w:r>
      <w:r>
        <w:rPr>
          <w:rFonts w:hint="eastAsia"/>
          <w:highlight w:val="none"/>
        </w:rPr>
        <w:t>违反法律法规</w:t>
      </w:r>
      <w:r>
        <w:rPr>
          <w:highlight w:val="none"/>
        </w:rPr>
        <w:t>等的</w:t>
      </w:r>
      <w:r>
        <w:rPr>
          <w:rFonts w:hint="eastAsia"/>
          <w:highlight w:val="none"/>
        </w:rPr>
        <w:t>失信行为）的；</w:t>
      </w:r>
    </w:p>
    <w:p w14:paraId="3AF64BDE">
      <w:pPr>
        <w:pStyle w:val="14"/>
        <w:spacing w:line="360" w:lineRule="auto"/>
        <w:ind w:firstLine="420" w:firstLineChars="200"/>
        <w:rPr>
          <w:rFonts w:hint="eastAsia"/>
          <w:highlight w:val="none"/>
        </w:rPr>
      </w:pPr>
      <w:r>
        <w:rPr>
          <w:rFonts w:hint="eastAsia" w:hAnsi="宋体"/>
          <w:highlight w:val="none"/>
        </w:rPr>
        <w:t>(</w:t>
      </w:r>
      <w:r>
        <w:rPr>
          <w:rFonts w:hAnsi="宋体"/>
          <w:highlight w:val="none"/>
        </w:rPr>
        <w:t>8)</w:t>
      </w:r>
      <w:r>
        <w:rPr>
          <w:rFonts w:hint="eastAsia"/>
          <w:highlight w:val="none"/>
        </w:rPr>
        <w:t>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6088052">
      <w:pPr>
        <w:pStyle w:val="14"/>
        <w:spacing w:line="360" w:lineRule="auto"/>
        <w:ind w:firstLine="420" w:firstLineChars="200"/>
        <w:rPr>
          <w:rFonts w:hint="eastAsia"/>
          <w:highlight w:val="none"/>
        </w:rPr>
      </w:pPr>
      <w:r>
        <w:rPr>
          <w:rFonts w:hint="eastAsia" w:hAnsi="宋体"/>
          <w:highlight w:val="none"/>
        </w:rPr>
        <w:t>(</w:t>
      </w:r>
      <w:r>
        <w:rPr>
          <w:rFonts w:hint="eastAsia" w:hAnsi="宋体"/>
          <w:highlight w:val="none"/>
          <w:lang w:val="en-US" w:eastAsia="zh-CN"/>
        </w:rPr>
        <w:t>9</w:t>
      </w:r>
      <w:r>
        <w:rPr>
          <w:rFonts w:hAnsi="宋体"/>
          <w:highlight w:val="none"/>
        </w:rPr>
        <w:t>)</w:t>
      </w:r>
      <w:r>
        <w:rPr>
          <w:rFonts w:hint="eastAsia"/>
          <w:highlight w:val="none"/>
        </w:rPr>
        <w:t>投标人须具有履行合同所必须的设备、财务、技术、服务等方面的资质和能力；</w:t>
      </w:r>
    </w:p>
    <w:p w14:paraId="76D34F3C">
      <w:pPr>
        <w:pStyle w:val="14"/>
        <w:spacing w:line="360" w:lineRule="auto"/>
        <w:ind w:firstLine="420" w:firstLineChars="200"/>
        <w:rPr>
          <w:rFonts w:hint="eastAsia"/>
          <w:highlight w:val="none"/>
        </w:rPr>
      </w:pPr>
      <w:r>
        <w:rPr>
          <w:rFonts w:hint="eastAsia"/>
          <w:highlight w:val="none"/>
        </w:rPr>
        <w:t>(</w:t>
      </w:r>
      <w:r>
        <w:rPr>
          <w:rFonts w:hint="eastAsia"/>
          <w:highlight w:val="none"/>
          <w:lang w:val="en-US" w:eastAsia="zh-CN"/>
        </w:rPr>
        <w:t>10</w:t>
      </w:r>
      <w:r>
        <w:rPr>
          <w:highlight w:val="none"/>
        </w:rPr>
        <w:t>)</w:t>
      </w:r>
      <w:r>
        <w:rPr>
          <w:rFonts w:hint="eastAsia"/>
          <w:highlight w:val="none"/>
        </w:rPr>
        <w:t>投标人须具有完全履行招标文件的所有要求的能力；</w:t>
      </w:r>
    </w:p>
    <w:p w14:paraId="16FE1295">
      <w:pPr>
        <w:pStyle w:val="14"/>
        <w:spacing w:line="360" w:lineRule="auto"/>
        <w:ind w:firstLine="420" w:firstLineChars="200"/>
        <w:rPr>
          <w:rFonts w:hint="eastAsia"/>
          <w:highlight w:val="none"/>
        </w:rPr>
      </w:pPr>
      <w:r>
        <w:rPr>
          <w:rFonts w:hint="eastAsia" w:hAnsi="宋体"/>
          <w:highlight w:val="none"/>
        </w:rPr>
        <w:t>(</w:t>
      </w:r>
      <w:r>
        <w:rPr>
          <w:rFonts w:hint="eastAsia" w:hAnsi="宋体"/>
          <w:highlight w:val="none"/>
          <w:lang w:val="en-US" w:eastAsia="zh-CN"/>
        </w:rPr>
        <w:t>11</w:t>
      </w:r>
      <w:r>
        <w:rPr>
          <w:rFonts w:hAnsi="宋体"/>
          <w:highlight w:val="none"/>
        </w:rPr>
        <w:t>)</w:t>
      </w:r>
      <w:r>
        <w:rPr>
          <w:rFonts w:hint="eastAsia"/>
          <w:highlight w:val="none"/>
        </w:rPr>
        <w:t>投标人须认可招标人的工作指令，包括节、假日能正常开展工作的要求；</w:t>
      </w:r>
    </w:p>
    <w:p w14:paraId="1E39EA42">
      <w:pPr>
        <w:pStyle w:val="14"/>
        <w:spacing w:line="360" w:lineRule="auto"/>
        <w:ind w:firstLine="420" w:firstLineChars="200"/>
        <w:rPr>
          <w:highlight w:val="none"/>
        </w:rPr>
      </w:pPr>
      <w:r>
        <w:rPr>
          <w:rFonts w:hint="eastAsia" w:hAnsi="宋体"/>
          <w:highlight w:val="none"/>
        </w:rPr>
        <w:t>(</w:t>
      </w:r>
      <w:r>
        <w:rPr>
          <w:rFonts w:hAnsi="宋体"/>
          <w:highlight w:val="none"/>
        </w:rPr>
        <w:t>1</w:t>
      </w:r>
      <w:r>
        <w:rPr>
          <w:rFonts w:hint="eastAsia" w:hAnsi="宋体"/>
          <w:highlight w:val="none"/>
          <w:lang w:val="en-US" w:eastAsia="zh-CN"/>
        </w:rPr>
        <w:t>2</w:t>
      </w:r>
      <w:r>
        <w:rPr>
          <w:rFonts w:hAnsi="宋体"/>
          <w:highlight w:val="none"/>
        </w:rPr>
        <w:t>)</w:t>
      </w:r>
      <w:r>
        <w:rPr>
          <w:rFonts w:hint="eastAsia"/>
          <w:highlight w:val="none"/>
        </w:rPr>
        <w:t>投标人必须是最终投标、签订合同的单位，不得以任何理由将已中标项目以任何形式转包给其他单位；</w:t>
      </w:r>
    </w:p>
    <w:p w14:paraId="5F6F37DC">
      <w:pPr>
        <w:pStyle w:val="14"/>
        <w:spacing w:line="360" w:lineRule="auto"/>
        <w:ind w:firstLine="420" w:firstLineChars="200"/>
        <w:rPr>
          <w:rFonts w:hAnsi="宋体"/>
          <w:highlight w:val="none"/>
        </w:rPr>
      </w:pPr>
      <w:r>
        <w:rPr>
          <w:rFonts w:hint="eastAsia" w:hAnsi="宋体"/>
          <w:highlight w:val="none"/>
        </w:rPr>
        <w:t>(</w:t>
      </w:r>
      <w:r>
        <w:rPr>
          <w:rFonts w:hAnsi="宋体"/>
          <w:highlight w:val="none"/>
        </w:rPr>
        <w:t>1</w:t>
      </w:r>
      <w:r>
        <w:rPr>
          <w:rFonts w:hint="eastAsia" w:hAnsi="宋体"/>
          <w:highlight w:val="none"/>
          <w:lang w:val="en-US" w:eastAsia="zh-CN"/>
        </w:rPr>
        <w:t>3</w:t>
      </w:r>
      <w:r>
        <w:rPr>
          <w:rFonts w:hint="eastAsia" w:hAnsi="宋体"/>
          <w:highlight w:val="none"/>
        </w:rPr>
        <w:t>）本次招标项目不接受联合体投标；</w:t>
      </w:r>
    </w:p>
    <w:p w14:paraId="7C0EA40D">
      <w:pPr>
        <w:pStyle w:val="14"/>
        <w:spacing w:line="360" w:lineRule="auto"/>
        <w:ind w:firstLine="420" w:firstLineChars="200"/>
        <w:rPr>
          <w:rFonts w:hAnsi="宋体"/>
          <w:highlight w:val="none"/>
        </w:rPr>
      </w:pPr>
      <w:r>
        <w:rPr>
          <w:rFonts w:hint="eastAsia" w:hAnsi="宋体"/>
          <w:highlight w:val="none"/>
        </w:rPr>
        <w:t>(1</w:t>
      </w:r>
      <w:r>
        <w:rPr>
          <w:rFonts w:hint="eastAsia" w:hAnsi="宋体"/>
          <w:highlight w:val="none"/>
          <w:lang w:val="en-US" w:eastAsia="zh-CN"/>
        </w:rPr>
        <w:t>4</w:t>
      </w:r>
      <w:r>
        <w:rPr>
          <w:rFonts w:hint="eastAsia" w:hAnsi="宋体"/>
          <w:highlight w:val="none"/>
        </w:rPr>
        <w:t>）不接受代理商投标；</w:t>
      </w:r>
    </w:p>
    <w:p w14:paraId="610AD466">
      <w:pPr>
        <w:pStyle w:val="14"/>
        <w:spacing w:line="360" w:lineRule="auto"/>
        <w:ind w:firstLine="420" w:firstLineChars="200"/>
        <w:rPr>
          <w:rFonts w:hAnsi="宋体"/>
          <w:highlight w:val="none"/>
        </w:rPr>
      </w:pPr>
      <w:r>
        <w:rPr>
          <w:rFonts w:hint="eastAsia" w:hAnsi="宋体"/>
          <w:highlight w:val="none"/>
        </w:rPr>
        <w:t>(1</w:t>
      </w:r>
      <w:r>
        <w:rPr>
          <w:rFonts w:hint="eastAsia" w:hAnsi="宋体"/>
          <w:highlight w:val="none"/>
          <w:lang w:val="en-US" w:eastAsia="zh-CN"/>
        </w:rPr>
        <w:t>5</w:t>
      </w:r>
      <w:r>
        <w:rPr>
          <w:rFonts w:hint="eastAsia" w:hAnsi="宋体"/>
          <w:highlight w:val="none"/>
        </w:rPr>
        <w:t>）投标人近一个月内开具的人民银行企业信用报告中未显示异常；</w:t>
      </w:r>
    </w:p>
    <w:p w14:paraId="2D14ADB6">
      <w:pPr>
        <w:pStyle w:val="14"/>
        <w:spacing w:line="360" w:lineRule="auto"/>
        <w:ind w:firstLine="420" w:firstLineChars="200"/>
        <w:rPr>
          <w:rFonts w:hint="eastAsia" w:hAnsi="宋体"/>
          <w:highlight w:val="none"/>
        </w:rPr>
      </w:pPr>
      <w:r>
        <w:rPr>
          <w:rFonts w:hint="eastAsia" w:hAnsi="宋体"/>
          <w:highlight w:val="none"/>
        </w:rPr>
        <w:t>（1</w:t>
      </w:r>
      <w:r>
        <w:rPr>
          <w:rFonts w:hint="eastAsia" w:hAnsi="宋体"/>
          <w:highlight w:val="none"/>
          <w:lang w:val="en-US" w:eastAsia="zh-CN"/>
        </w:rPr>
        <w:t>6</w:t>
      </w:r>
      <w:r>
        <w:rPr>
          <w:rFonts w:hint="eastAsia" w:hAnsi="宋体"/>
          <w:highlight w:val="none"/>
        </w:rPr>
        <w:t>）在“国家企业信用信息公示系统”、“中国执行信息公开网”、“信用中国”、“天眼查”“裁判文书网”等信息平台中，无行政处罚及失信记录等信息；</w:t>
      </w:r>
    </w:p>
    <w:p w14:paraId="02605D5E">
      <w:pPr>
        <w:pStyle w:val="14"/>
        <w:spacing w:line="360" w:lineRule="auto"/>
        <w:ind w:firstLine="420" w:firstLineChars="200"/>
        <w:rPr>
          <w:rFonts w:hAnsi="宋体"/>
          <w:highlight w:val="none"/>
        </w:rPr>
      </w:pPr>
      <w:r>
        <w:rPr>
          <w:rFonts w:hint="eastAsia" w:hAnsi="宋体"/>
          <w:highlight w:val="none"/>
        </w:rPr>
        <w:t>（</w:t>
      </w:r>
      <w:r>
        <w:rPr>
          <w:rFonts w:hAnsi="宋体"/>
          <w:highlight w:val="none"/>
        </w:rPr>
        <w:t>1</w:t>
      </w:r>
      <w:r>
        <w:rPr>
          <w:rFonts w:hint="eastAsia" w:hAnsi="宋体"/>
          <w:highlight w:val="none"/>
          <w:lang w:val="en-US" w:eastAsia="zh-CN"/>
        </w:rPr>
        <w:t>7</w:t>
      </w:r>
      <w:r>
        <w:rPr>
          <w:rFonts w:hint="eastAsia" w:hAnsi="宋体"/>
          <w:highlight w:val="none"/>
        </w:rPr>
        <w:t>）无招标违规、谎报年度报告信息、提供虚假资质资料等行为或其他行政处罚记录；</w:t>
      </w:r>
    </w:p>
    <w:p w14:paraId="56CE4742">
      <w:pPr>
        <w:pStyle w:val="14"/>
        <w:spacing w:line="360" w:lineRule="auto"/>
        <w:ind w:firstLine="420" w:firstLineChars="200"/>
        <w:rPr>
          <w:rFonts w:hAnsi="宋体"/>
          <w:highlight w:val="none"/>
        </w:rPr>
      </w:pPr>
      <w:r>
        <w:rPr>
          <w:rFonts w:hint="eastAsia" w:hAnsi="宋体"/>
          <w:highlight w:val="none"/>
        </w:rPr>
        <w:t>（</w:t>
      </w:r>
      <w:r>
        <w:rPr>
          <w:rFonts w:hAnsi="宋体"/>
          <w:highlight w:val="none"/>
        </w:rPr>
        <w:t>1</w:t>
      </w:r>
      <w:r>
        <w:rPr>
          <w:rFonts w:hint="eastAsia" w:hAnsi="宋体"/>
          <w:highlight w:val="none"/>
          <w:lang w:val="en-US" w:eastAsia="zh-CN"/>
        </w:rPr>
        <w:t>8</w:t>
      </w:r>
      <w:r>
        <w:rPr>
          <w:rFonts w:hint="eastAsia" w:hAnsi="宋体"/>
          <w:highlight w:val="none"/>
        </w:rPr>
        <w:t>）按规定缴纳本项目投标保证金；</w:t>
      </w:r>
    </w:p>
    <w:p w14:paraId="598DF638">
      <w:pPr>
        <w:pStyle w:val="14"/>
        <w:spacing w:line="360" w:lineRule="auto"/>
        <w:ind w:firstLine="420" w:firstLineChars="200"/>
        <w:rPr>
          <w:rFonts w:hint="eastAsia" w:hAnsi="宋体" w:eastAsia="宋体"/>
          <w:highlight w:val="none"/>
          <w:lang w:eastAsia="zh-CN"/>
        </w:rPr>
      </w:pPr>
      <w:r>
        <w:rPr>
          <w:rFonts w:hint="eastAsia" w:hAnsi="宋体"/>
          <w:highlight w:val="none"/>
        </w:rPr>
        <w:t>（1</w:t>
      </w:r>
      <w:r>
        <w:rPr>
          <w:rFonts w:hint="eastAsia" w:hAnsi="宋体"/>
          <w:highlight w:val="none"/>
          <w:lang w:val="en-US" w:eastAsia="zh-CN"/>
        </w:rPr>
        <w:t>9</w:t>
      </w:r>
      <w:r>
        <w:rPr>
          <w:rFonts w:hint="eastAsia" w:hAnsi="宋体"/>
          <w:highlight w:val="none"/>
        </w:rPr>
        <w:t>）</w:t>
      </w:r>
      <w:r>
        <w:rPr>
          <w:rFonts w:hAnsi="宋体"/>
          <w:highlight w:val="none"/>
        </w:rPr>
        <w:t>投标方的直接或间接股东、法定代表人、董事、监事、高管非重汽员工及其亲属</w:t>
      </w:r>
      <w:r>
        <w:rPr>
          <w:rFonts w:hint="eastAsia" w:hAnsi="宋体"/>
          <w:highlight w:val="none"/>
          <w:lang w:eastAsia="zh-CN"/>
        </w:rPr>
        <w:t>；</w:t>
      </w:r>
    </w:p>
    <w:p w14:paraId="3CFA87F6">
      <w:pPr>
        <w:pStyle w:val="14"/>
        <w:spacing w:line="360" w:lineRule="auto"/>
        <w:ind w:firstLine="422" w:firstLineChars="200"/>
        <w:rPr>
          <w:highlight w:val="yellow"/>
        </w:rPr>
      </w:pPr>
      <w:r>
        <w:rPr>
          <w:rFonts w:hint="eastAsia" w:hAnsi="宋体"/>
          <w:b/>
          <w:bCs/>
          <w:highlight w:val="none"/>
        </w:rPr>
        <w:t>（</w:t>
      </w:r>
      <w:r>
        <w:rPr>
          <w:rFonts w:hint="eastAsia" w:hAnsi="宋体"/>
          <w:b/>
          <w:bCs/>
          <w:highlight w:val="none"/>
          <w:lang w:val="en-US" w:eastAsia="zh-CN"/>
        </w:rPr>
        <w:t>20</w:t>
      </w:r>
      <w:r>
        <w:rPr>
          <w:rFonts w:hint="eastAsia" w:hAnsi="宋体"/>
          <w:b/>
          <w:bCs/>
          <w:highlight w:val="none"/>
        </w:rPr>
        <w:t>）</w:t>
      </w:r>
      <w:r>
        <w:rPr>
          <w:rFonts w:hAnsi="宋体"/>
          <w:b/>
          <w:bCs/>
          <w:highlight w:val="none"/>
        </w:rPr>
        <w:t>投标方</w:t>
      </w:r>
      <w:r>
        <w:rPr>
          <w:rFonts w:hint="eastAsia" w:hAnsi="宋体"/>
          <w:b/>
          <w:bCs/>
          <w:highlight w:val="none"/>
          <w:lang w:val="en-US" w:eastAsia="zh-CN"/>
        </w:rPr>
        <w:t>需</w:t>
      </w:r>
      <w:r>
        <w:rPr>
          <w:rFonts w:hint="eastAsia" w:hAnsi="宋体"/>
          <w:b/>
          <w:bCs/>
          <w:highlight w:val="none"/>
        </w:rPr>
        <w:t>具有丰富的工位器具</w:t>
      </w:r>
      <w:r>
        <w:rPr>
          <w:rFonts w:hint="eastAsia" w:hAnsi="宋体"/>
          <w:b/>
          <w:bCs/>
          <w:highlight w:val="none"/>
          <w:lang w:val="en-US" w:eastAsia="zh-CN"/>
        </w:rPr>
        <w:t>设计、制作</w:t>
      </w:r>
      <w:r>
        <w:rPr>
          <w:rFonts w:hint="eastAsia" w:hAnsi="宋体"/>
          <w:b/>
          <w:bCs/>
          <w:highlight w:val="none"/>
        </w:rPr>
        <w:t>经验</w:t>
      </w:r>
      <w:r>
        <w:rPr>
          <w:rFonts w:hint="eastAsia"/>
          <w:b/>
          <w:bCs/>
          <w:highlight w:val="none"/>
          <w:lang w:val="en-US" w:eastAsia="zh-CN"/>
        </w:rPr>
        <w:t>。</w:t>
      </w:r>
    </w:p>
    <w:p w14:paraId="76B97D53">
      <w:pPr>
        <w:pStyle w:val="72"/>
        <w:rPr>
          <w:highlight w:val="yellow"/>
        </w:rPr>
      </w:pPr>
      <w:bookmarkStart w:id="6" w:name="_Toc47976591"/>
      <w:r>
        <w:rPr>
          <w:rFonts w:hint="eastAsia"/>
          <w:highlight w:val="yellow"/>
        </w:rPr>
        <w:t>报名及招标文件的获取</w:t>
      </w:r>
      <w:bookmarkEnd w:id="6"/>
    </w:p>
    <w:p w14:paraId="06CAB1A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w:t>
      </w:r>
      <w:r>
        <w:rPr>
          <w:rFonts w:hint="eastAsia" w:hAnsi="宋体" w:cs="宋体"/>
          <w:b/>
          <w:bCs/>
          <w:szCs w:val="21"/>
          <w:lang w:val="en-US" w:eastAsia="zh-CN"/>
        </w:rPr>
        <w:t>10</w:t>
      </w:r>
      <w:r>
        <w:rPr>
          <w:rFonts w:hint="eastAsia" w:hAnsi="宋体" w:cs="宋体"/>
          <w:b/>
          <w:bCs/>
          <w:szCs w:val="21"/>
        </w:rPr>
        <w:t>月</w:t>
      </w:r>
      <w:r>
        <w:rPr>
          <w:rFonts w:hint="eastAsia" w:hAnsi="宋体" w:cs="宋体"/>
          <w:b/>
          <w:bCs/>
          <w:szCs w:val="21"/>
          <w:lang w:val="en-US" w:eastAsia="zh-CN"/>
        </w:rPr>
        <w:t>24</w:t>
      </w:r>
      <w:r>
        <w:rPr>
          <w:rFonts w:hint="eastAsia" w:hAnsi="宋体" w:cs="宋体"/>
          <w:b/>
          <w:bCs/>
          <w:szCs w:val="21"/>
        </w:rPr>
        <w:t>日下午17点</w:t>
      </w:r>
    </w:p>
    <w:p w14:paraId="2CDA9095">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478C351B">
      <w:pPr>
        <w:pStyle w:val="72"/>
        <w:numPr>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4509C0DA">
      <w:pPr>
        <w:pStyle w:val="72"/>
        <w:rPr>
          <w:highlight w:val="yellow"/>
        </w:rPr>
      </w:pPr>
      <w:bookmarkStart w:id="7" w:name="_Toc47976592"/>
      <w:r>
        <w:rPr>
          <w:rFonts w:hint="eastAsia"/>
          <w:highlight w:val="yellow"/>
        </w:rPr>
        <w:t>投标文件的递交</w:t>
      </w:r>
      <w:bookmarkEnd w:id="7"/>
    </w:p>
    <w:p w14:paraId="114A4084">
      <w:pPr>
        <w:pStyle w:val="72"/>
        <w:numPr>
          <w:ilvl w:val="0"/>
          <w:numId w:val="0"/>
        </w:numPr>
        <w:ind w:leftChars="0"/>
        <w:rPr>
          <w:rFonts w:hint="eastAsia" w:ascii="宋体" w:hAnsi="宋体" w:eastAsia="宋体" w:cs="宋体"/>
          <w:sz w:val="21"/>
          <w:szCs w:val="21"/>
          <w:highlight w:val="yellow"/>
        </w:rPr>
      </w:pPr>
      <w:r>
        <w:rPr>
          <w:rFonts w:hint="eastAsia" w:ascii="宋体" w:hAnsi="宋体" w:eastAsia="宋体" w:cs="宋体"/>
          <w:b/>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756B03D7">
      <w:pPr>
        <w:pStyle w:val="72"/>
        <w:numPr>
          <w:numId w:val="0"/>
        </w:numPr>
        <w:ind w:leftChars="0"/>
        <w:rPr>
          <w:highlight w:val="yellow"/>
        </w:rPr>
      </w:pPr>
    </w:p>
    <w:p w14:paraId="27B65ABD">
      <w:pPr>
        <w:pStyle w:val="72"/>
        <w:rPr>
          <w:highlight w:val="yellow"/>
        </w:rPr>
      </w:pPr>
      <w:r>
        <w:rPr>
          <w:rFonts w:hint="eastAsia"/>
          <w:highlight w:val="yellow"/>
          <w:lang w:val="en-US" w:eastAsia="zh-CN"/>
        </w:rPr>
        <w:t>开标时间和地点</w:t>
      </w:r>
    </w:p>
    <w:p w14:paraId="6D848FE5">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1</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18</w:t>
      </w:r>
      <w:r>
        <w:rPr>
          <w:rFonts w:hint="eastAsia" w:ascii="宋体" w:hAnsi="宋体" w:eastAsia="宋体" w:cs="宋体"/>
          <w:sz w:val="21"/>
          <w:szCs w:val="21"/>
          <w:highlight w:val="yellow"/>
        </w:rPr>
        <w:t>日9:00:00</w:t>
      </w:r>
    </w:p>
    <w:p w14:paraId="5AC4000E">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22385406">
      <w:pPr>
        <w:pStyle w:val="72"/>
      </w:pPr>
      <w:bookmarkStart w:id="8" w:name="_Toc47976593"/>
      <w:r>
        <w:rPr>
          <w:rFonts w:hint="eastAsia"/>
        </w:rPr>
        <w:t>招标公告发布媒介</w:t>
      </w:r>
      <w:bookmarkEnd w:id="8"/>
    </w:p>
    <w:p w14:paraId="7FCF40C7">
      <w:pPr>
        <w:pStyle w:val="73"/>
        <w:numPr>
          <w:ilvl w:val="0"/>
          <w:numId w:val="0"/>
        </w:numPr>
        <w:ind w:left="1130" w:hanging="420"/>
        <w:rPr>
          <w:rFonts w:hint="eastAsia"/>
          <w:highlight w:val="yellow"/>
        </w:rPr>
      </w:pPr>
      <w:bookmarkStart w:id="9" w:name="_Toc47976594"/>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65FC2213">
      <w:pPr>
        <w:pStyle w:val="72"/>
        <w:rPr>
          <w:highlight w:val="yellow"/>
        </w:rPr>
      </w:pPr>
      <w:r>
        <w:rPr>
          <w:rFonts w:hint="eastAsia"/>
          <w:highlight w:val="yellow"/>
        </w:rPr>
        <w:t>联系方式</w:t>
      </w:r>
      <w:bookmarkEnd w:id="9"/>
    </w:p>
    <w:p w14:paraId="467084F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6FF52CC">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669BF84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CE0E42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CAE25E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242C6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孙继峰</w:t>
      </w:r>
    </w:p>
    <w:p w14:paraId="62F80E4E">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电话：15990994015</w:t>
      </w:r>
    </w:p>
    <w:p w14:paraId="5F538BD8">
      <w:pPr>
        <w:pStyle w:val="72"/>
        <w:numPr>
          <w:numId w:val="0"/>
        </w:numPr>
        <w:ind w:leftChars="0" w:firstLine="422" w:firstLineChars="200"/>
      </w:pPr>
      <w:r>
        <w:rPr>
          <w:rFonts w:hint="eastAsia" w:ascii="宋体" w:hAnsi="宋体" w:eastAsia="宋体" w:cs="宋体"/>
          <w:b/>
          <w:bCs/>
          <w:sz w:val="21"/>
          <w:szCs w:val="21"/>
        </w:rPr>
        <w:t>邮箱：</w:t>
      </w:r>
      <w:r>
        <w:rPr>
          <w:rFonts w:hint="eastAsia" w:hAnsi="宋体" w:cs="宋体"/>
          <w:b/>
          <w:bCs/>
          <w:sz w:val="21"/>
          <w:szCs w:val="21"/>
          <w:lang w:val="en-US" w:eastAsia="zh-CN"/>
        </w:rPr>
        <w:t>jinansjf@163.com</w:t>
      </w: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16</w:t>
      </w:r>
      <w:r>
        <w:rPr>
          <w:rFonts w:hint="eastAsia"/>
        </w:rPr>
        <w:t>日</w:t>
      </w:r>
    </w:p>
    <w:p w14:paraId="04C96706">
      <w:pPr>
        <w:pStyle w:val="76"/>
      </w:pPr>
    </w:p>
    <w:p w14:paraId="3D820EEC">
      <w:pPr>
        <w:pStyle w:val="71"/>
      </w:pPr>
      <w:bookmarkStart w:id="10" w:name="_Toc47976595"/>
      <w:bookmarkStart w:id="11" w:name="_Toc7753"/>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横拉杆器具及配件采购项目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FSCZB2025100064</w:t>
      </w:r>
    </w:p>
    <w:p w14:paraId="5C6CF568">
      <w:pPr>
        <w:pStyle w:val="76"/>
        <w:numPr>
          <w:ilvl w:val="0"/>
          <w:numId w:val="13"/>
        </w:numPr>
        <w:ind w:left="425" w:leftChars="0" w:hanging="425" w:firstLineChars="0"/>
      </w:pPr>
      <w:r>
        <w:rPr>
          <w:rFonts w:hint="eastAsia"/>
        </w:rPr>
        <w:t>招标形式：</w:t>
      </w:r>
      <w:bookmarkStart w:id="13" w:name="_Toc47112482"/>
      <w:r>
        <w:rPr>
          <w:rFonts w:hint="eastAsia"/>
          <w:highlight w:val="yellow"/>
        </w:rPr>
        <w:t>公开招标</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330BDB6F">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03DC4C9">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51403CF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F93F738">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573B6B04">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6541D0BC">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孙继峰</w:t>
      </w:r>
    </w:p>
    <w:p w14:paraId="0D5E94E9">
      <w:pPr>
        <w:pStyle w:val="72"/>
        <w:numPr>
          <w:ilvl w:val="0"/>
          <w:numId w:val="0"/>
        </w:numPr>
        <w:ind w:leftChars="0"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电话：15990994015</w:t>
      </w:r>
    </w:p>
    <w:p w14:paraId="4459035D">
      <w:pPr>
        <w:pStyle w:val="72"/>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w:t>
      </w:r>
      <w:r>
        <w:rPr>
          <w:rFonts w:hint="eastAsia" w:hAnsi="宋体" w:cs="宋体"/>
          <w:b/>
          <w:bCs/>
          <w:sz w:val="21"/>
          <w:szCs w:val="21"/>
          <w:lang w:val="en-US" w:eastAsia="zh-CN"/>
        </w:rPr>
        <w:t>jinansjf@163.com</w:t>
      </w: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45A58D4A">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16</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5BA032BB">
      <w:pPr>
        <w:pStyle w:val="76"/>
        <w:ind w:firstLine="210" w:firstLineChars="100"/>
        <w:jc w:val="both"/>
        <w:rPr>
          <w:highlight w:val="yellow"/>
        </w:rPr>
      </w:pPr>
      <w:r>
        <w:rPr>
          <w:rFonts w:hint="eastAsia"/>
          <w:highlight w:val="yellow"/>
        </w:rPr>
        <w:t>地点：中国重汽e采通平台</w:t>
      </w:r>
    </w:p>
    <w:p w14:paraId="5C2ED88E">
      <w:pPr>
        <w:pStyle w:val="76"/>
        <w:numPr>
          <w:ilvl w:val="0"/>
          <w:numId w:val="0"/>
        </w:numPr>
        <w:ind w:leftChars="0" w:firstLine="210" w:firstLineChars="100"/>
        <w:jc w:val="both"/>
        <w:rPr>
          <w:rFonts w:hint="default" w:ascii="宋体" w:hAnsi="Courier New" w:eastAsia="宋体" w:cs="Times New Roman"/>
          <w:highlight w:val="yellow"/>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24</w:t>
      </w:r>
      <w:r>
        <w:rPr>
          <w:rFonts w:hint="eastAsia"/>
          <w:highlight w:val="yellow"/>
        </w:rPr>
        <w:t>日</w:t>
      </w:r>
    </w:p>
    <w:p w14:paraId="0F4284E3">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24</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2025年10月</w:t>
      </w:r>
      <w:r>
        <w:rPr>
          <w:rFonts w:hint="eastAsia"/>
          <w:highlight w:val="yellow"/>
          <w:lang w:val="en-US" w:eastAsia="zh-CN"/>
        </w:rPr>
        <w:t>24</w:t>
      </w:r>
      <w:r>
        <w:rPr>
          <w:rFonts w:hint="eastAsia"/>
          <w:highlight w:val="yellow"/>
        </w:rPr>
        <w:t>日</w:t>
      </w:r>
      <w:r>
        <w:rPr>
          <w:rFonts w:hint="eastAsia" w:ascii="宋体" w:hAnsi="宋体" w:eastAsia="宋体" w:cs="宋体"/>
          <w:bCs/>
          <w:sz w:val="21"/>
          <w:szCs w:val="21"/>
          <w:highlight w:val="yellow"/>
        </w:rPr>
        <w:t>17:00:00</w:t>
      </w:r>
      <w:r>
        <w:rPr>
          <w:rFonts w:hint="eastAsia"/>
          <w:highlight w:val="yellow"/>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50653E88">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207AD6B9">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24</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30.2162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2"/>
        </w:numPr>
        <w:rPr>
          <w:bCs/>
          <w:highlight w:val="none"/>
        </w:rPr>
      </w:pPr>
      <w:r>
        <w:rPr>
          <w:rFonts w:hint="eastAsia"/>
          <w:bCs/>
          <w:highlight w:val="none"/>
        </w:rPr>
        <w:t>投标方式：</w:t>
      </w:r>
      <w:r>
        <w:rPr>
          <w:rFonts w:hint="eastAsia"/>
          <w:highlight w:val="none"/>
        </w:rPr>
        <w:t>在“中国重汽e采通”平台</w:t>
      </w:r>
      <w:r>
        <w:rPr>
          <w:rFonts w:hint="eastAsia"/>
          <w:bCs/>
          <w:highlight w:val="none"/>
        </w:rPr>
        <w:t>线上投标</w:t>
      </w:r>
    </w:p>
    <w:p w14:paraId="66216534">
      <w:pPr>
        <w:pStyle w:val="75"/>
        <w:numPr>
          <w:ilvl w:val="0"/>
          <w:numId w:val="22"/>
        </w:numPr>
        <w:rPr>
          <w:bCs/>
          <w:highlight w:val="none"/>
        </w:rPr>
      </w:pPr>
      <w:r>
        <w:rPr>
          <w:rFonts w:hint="eastAsia"/>
          <w:bCs/>
          <w:highlight w:val="none"/>
        </w:rPr>
        <w:t>联系人及联系方式：郭朝琛/15275666282</w:t>
      </w:r>
    </w:p>
    <w:p w14:paraId="5B1043FA">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bCs/>
          <w:highlight w:val="none"/>
        </w:rPr>
        <w:t>投标文件递交截止时间：</w:t>
      </w:r>
      <w:r>
        <w:rPr>
          <w:rFonts w:hint="eastAsia"/>
          <w:bCs/>
          <w:highlight w:val="yellow"/>
        </w:rPr>
        <w:t>2025年1</w:t>
      </w:r>
      <w:r>
        <w:rPr>
          <w:rFonts w:hint="eastAsia"/>
          <w:bCs/>
          <w:highlight w:val="yellow"/>
          <w:lang w:val="en-US" w:eastAsia="zh-CN"/>
        </w:rPr>
        <w:t>1</w:t>
      </w:r>
      <w:r>
        <w:rPr>
          <w:rFonts w:hint="eastAsia"/>
          <w:bCs/>
          <w:highlight w:val="yellow"/>
        </w:rPr>
        <w:t>月</w:t>
      </w:r>
      <w:r>
        <w:rPr>
          <w:rFonts w:hint="eastAsia"/>
          <w:bCs/>
          <w:highlight w:val="yellow"/>
          <w:lang w:val="en-US" w:eastAsia="zh-CN"/>
        </w:rPr>
        <w:t>18</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14:paraId="20472740">
      <w:pPr>
        <w:pStyle w:val="72"/>
        <w:numPr>
          <w:ilvl w:val="0"/>
          <w:numId w:val="24"/>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21DD9930">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18</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bCs/>
          <w:sz w:val="21"/>
          <w:szCs w:val="21"/>
          <w:highlight w:val="none"/>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w:t>
      </w:r>
      <w:r>
        <w:rPr>
          <w:rFonts w:hint="eastAsia" w:ascii="宋体" w:hAnsi="宋体" w:eastAsia="宋体" w:cs="宋体"/>
          <w:b w:val="0"/>
          <w:bCs w:val="0"/>
          <w:sz w:val="21"/>
          <w:szCs w:val="21"/>
          <w:highlight w:val="yellow"/>
        </w:rPr>
        <w:t>作为《投标文件》的一部分，</w:t>
      </w:r>
      <w:r>
        <w:rPr>
          <w:rFonts w:hint="eastAsia" w:ascii="宋体" w:hAnsi="宋体" w:eastAsia="宋体" w:cs="宋体"/>
          <w:b w:val="0"/>
          <w:bCs w:val="0"/>
          <w:sz w:val="21"/>
          <w:szCs w:val="21"/>
          <w:highlight w:val="none"/>
        </w:rPr>
        <w:t>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10049441">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18</w:t>
      </w:r>
      <w:r>
        <w:rPr>
          <w:rFonts w:hint="eastAsia" w:ascii="宋体" w:hAnsi="宋体" w:eastAsia="宋体" w:cs="宋体"/>
          <w:b w:val="0"/>
          <w:bCs w:val="0"/>
          <w:sz w:val="21"/>
          <w:szCs w:val="21"/>
          <w:highlight w:val="yellow"/>
        </w:rPr>
        <w:t>日9:00:00</w:t>
      </w:r>
    </w:p>
    <w:p w14:paraId="3485AA4E">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1A7C6FA9">
      <w:pPr>
        <w:pStyle w:val="72"/>
        <w:numPr>
          <w:ilvl w:val="0"/>
          <w:numId w:val="0"/>
        </w:numPr>
        <w:ind w:left="59" w:leftChars="0"/>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7"/>
      <w:bookmarkStart w:id="17" w:name="OLE_LINK25"/>
      <w:bookmarkStart w:id="18" w:name="OLE_LINK26"/>
      <w:bookmarkStart w:id="19" w:name="OLE_LINK28"/>
      <w:bookmarkStart w:id="20" w:name="OLE_LINK29"/>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0DD46053">
      <w:pPr>
        <w:pStyle w:val="72"/>
        <w:numPr>
          <w:ilvl w:val="0"/>
          <w:numId w:val="28"/>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w:t>
      </w:r>
      <w:r>
        <w:rPr>
          <w:rFonts w:hint="eastAsia" w:ascii="宋体" w:hAnsi="宋体" w:eastAsia="宋体" w:cs="宋体"/>
          <w:b w:val="0"/>
          <w:bCs w:val="0"/>
          <w:sz w:val="21"/>
          <w:szCs w:val="21"/>
          <w:highlight w:val="none"/>
          <w:lang w:val="en-US" w:eastAsia="zh-CN"/>
        </w:rPr>
        <w:t>工位器具防护采购项目工期为10个自然日，自招标人下达采购计划后10个自然日内完成交付，逾期完不成的每逾期一天按总货款的0.5%扣除。</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bookmarkStart w:id="45" w:name="_GoBack"/>
      <w:bookmarkEnd w:id="45"/>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3.付款节点：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07A4B493">
      <w:pPr>
        <w:pStyle w:val="71"/>
        <w:jc w:val="both"/>
        <w:rPr>
          <w:rFonts w:hint="eastAsia"/>
        </w:rPr>
      </w:pPr>
      <w:bookmarkStart w:id="21" w:name="_Toc47976607"/>
    </w:p>
    <w:p w14:paraId="243FF35F">
      <w:pPr>
        <w:rPr>
          <w:rFonts w:hint="eastAsia"/>
        </w:rPr>
      </w:pPr>
      <w:r>
        <w:rPr>
          <w:rFonts w:hint="eastAsia"/>
        </w:rPr>
        <w:br w:type="page"/>
      </w:r>
    </w:p>
    <w:p w14:paraId="639839CE">
      <w:pPr>
        <w:pStyle w:val="71"/>
        <w:jc w:val="both"/>
        <w:rPr>
          <w:rFonts w:hint="eastAsia"/>
        </w:rPr>
      </w:pPr>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技术标书</w:t>
      </w:r>
      <w:bookmarkEnd w:id="22"/>
    </w:p>
    <w:p w14:paraId="7D9AB347">
      <w:pPr>
        <w:rPr>
          <w:rFonts w:ascii="黑体" w:hAnsi="黑体" w:eastAsia="黑体"/>
          <w:b/>
          <w:bCs/>
          <w:sz w:val="28"/>
          <w:szCs w:val="28"/>
          <w:highlight w:val="none"/>
        </w:rPr>
      </w:pPr>
      <w:bookmarkStart w:id="23" w:name="_Toc426115092"/>
      <w:r>
        <w:rPr>
          <w:rFonts w:hint="eastAsia" w:ascii="黑体" w:hAnsi="黑体" w:eastAsia="黑体"/>
          <w:b/>
          <w:bCs/>
          <w:sz w:val="28"/>
          <w:szCs w:val="28"/>
          <w:highlight w:val="none"/>
        </w:rPr>
        <w:t>一、项目名称：</w:t>
      </w:r>
      <w:r>
        <w:rPr>
          <w:rFonts w:hint="eastAsia" w:ascii="宋体" w:hAnsi="宋体" w:eastAsia="宋体" w:cs="Times New Roman"/>
          <w:color w:val="auto"/>
          <w:highlight w:val="none"/>
          <w:lang w:val="en-US" w:eastAsia="zh-CN"/>
        </w:rPr>
        <w:t>中国重汽集团济南汽车部件有限公司</w:t>
      </w:r>
      <w:r>
        <w:rPr>
          <w:rFonts w:hint="eastAsia" w:hAnsi="宋体" w:eastAsia="宋体" w:cs="Times New Roman"/>
          <w:color w:val="auto"/>
          <w:highlight w:val="none"/>
          <w:lang w:val="en-US" w:eastAsia="zh-CN"/>
        </w:rPr>
        <w:t>横拉杆</w:t>
      </w:r>
      <w:r>
        <w:rPr>
          <w:rFonts w:hint="eastAsia" w:ascii="宋体" w:hAnsi="宋体" w:eastAsia="宋体" w:cs="Times New Roman"/>
          <w:color w:val="auto"/>
          <w:highlight w:val="none"/>
          <w:lang w:val="en-US" w:eastAsia="zh-CN"/>
        </w:rPr>
        <w:t>器具及防护采购项目</w:t>
      </w:r>
    </w:p>
    <w:p w14:paraId="1DDACBB8">
      <w:pPr>
        <w:numPr>
          <w:ilvl w:val="0"/>
          <w:numId w:val="29"/>
        </w:numPr>
        <w:rPr>
          <w:rFonts w:ascii="黑体" w:hAnsi="黑体" w:eastAsia="黑体"/>
          <w:b/>
          <w:bCs/>
          <w:sz w:val="28"/>
          <w:szCs w:val="28"/>
          <w:highlight w:val="none"/>
        </w:rPr>
      </w:pPr>
      <w:r>
        <w:rPr>
          <w:rFonts w:hint="eastAsia" w:ascii="黑体" w:hAnsi="黑体" w:eastAsia="黑体"/>
          <w:b/>
          <w:bCs/>
          <w:sz w:val="28"/>
          <w:szCs w:val="28"/>
          <w:highlight w:val="none"/>
        </w:rPr>
        <w:t>项目货物验收</w:t>
      </w:r>
    </w:p>
    <w:p w14:paraId="65E345CC">
      <w:pPr>
        <w:numPr>
          <w:ilvl w:val="0"/>
          <w:numId w:val="30"/>
        </w:numPr>
        <w:spacing w:line="360" w:lineRule="auto"/>
        <w:ind w:firstLine="420" w:firstLineChars="200"/>
        <w:rPr>
          <w:rFonts w:hint="eastAsia" w:ascii="Times New Roman" w:hAnsi="Times New Roman" w:eastAsia="宋体" w:cs="Times New Roman"/>
          <w:highlight w:val="none"/>
          <w:lang w:val="en-US" w:eastAsia="zh-CN"/>
        </w:rPr>
      </w:pPr>
      <w:r>
        <w:rPr>
          <w:rFonts w:hint="eastAsia" w:ascii="宋体" w:hAnsi="宋体" w:eastAsia="宋体" w:cs="Times New Roman"/>
          <w:color w:val="auto"/>
          <w:highlight w:val="none"/>
          <w:lang w:val="en-US" w:eastAsia="zh-CN"/>
        </w:rPr>
        <w:t>工位器具底漆处理采用电泳工艺，表面喷塑</w:t>
      </w:r>
      <w:r>
        <w:rPr>
          <w:rFonts w:hint="eastAsia" w:ascii="Times New Roman" w:hAnsi="Times New Roman" w:eastAsia="宋体" w:cs="Times New Roman"/>
          <w:highlight w:val="none"/>
          <w:lang w:val="en-US" w:eastAsia="zh-CN"/>
        </w:rPr>
        <w:t>，亚光，采用漆膜枪检测，漆膜厚度 80μm -120μm，漆膜附着力测试参照 GB/T 9286 中的 测试方法执行划格法，要求测试等级达到 1 级；工位器具</w:t>
      </w:r>
      <w:r>
        <w:rPr>
          <w:rFonts w:hint="eastAsia" w:ascii="宋体" w:hAnsi="宋体" w:eastAsia="宋体" w:cs="Times New Roman"/>
          <w:color w:val="auto"/>
          <w:highlight w:val="none"/>
          <w:lang w:val="en-US" w:eastAsia="zh-CN"/>
        </w:rPr>
        <w:t>颜色为灰色RAL7035</w:t>
      </w:r>
      <w:r>
        <w:drawing>
          <wp:inline distT="0" distB="0" distL="114300" distR="114300">
            <wp:extent cx="295910" cy="132080"/>
            <wp:effectExtent l="0" t="0" r="8890" b="762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295910" cy="132080"/>
                    </a:xfrm>
                    <a:prstGeom prst="rect">
                      <a:avLst/>
                    </a:prstGeom>
                    <a:noFill/>
                    <a:ln>
                      <a:noFill/>
                    </a:ln>
                  </pic:spPr>
                </pic:pic>
              </a:graphicData>
            </a:graphic>
          </wp:inline>
        </w:drawing>
      </w:r>
      <w:r>
        <w:rPr>
          <w:rFonts w:hint="eastAsia" w:ascii="宋体" w:hAnsi="宋体" w:eastAsia="宋体" w:cs="Times New Roman"/>
          <w:color w:val="auto"/>
          <w:highlight w:val="none"/>
          <w:lang w:val="en-US" w:eastAsia="zh-CN"/>
        </w:rPr>
        <w:t>；工位器具防护</w:t>
      </w:r>
      <w:r>
        <w:rPr>
          <w:rFonts w:hint="eastAsia" w:ascii="Times New Roman" w:hAnsi="Times New Roman" w:eastAsia="宋体" w:cs="Times New Roman"/>
          <w:highlight w:val="none"/>
          <w:lang w:val="en-US" w:eastAsia="zh-CN"/>
        </w:rPr>
        <w:t>材质均为聚氨酯，</w:t>
      </w:r>
      <w:r>
        <w:rPr>
          <w:rFonts w:hint="eastAsia" w:ascii="宋体" w:hAnsi="宋体" w:eastAsia="宋体" w:cs="Times New Roman"/>
          <w:color w:val="auto"/>
          <w:highlight w:val="none"/>
          <w:lang w:val="en-US" w:eastAsia="zh-CN"/>
        </w:rPr>
        <w:t>颜色荧光黄，透明，无气泡，邵氏硬度70HA-75HA；；</w:t>
      </w:r>
      <w:r>
        <w:rPr>
          <w:rFonts w:hint="eastAsia" w:ascii="Times New Roman" w:hAnsi="Times New Roman" w:eastAsia="宋体" w:cs="Times New Roman"/>
          <w:highlight w:val="none"/>
          <w:lang w:val="en-US" w:eastAsia="zh-CN"/>
        </w:rPr>
        <w:t>工位器具表面应光滑，钢管的切割、焊接及把手等处必须进行磨光处理，做到无毛刺；</w:t>
      </w:r>
    </w:p>
    <w:p w14:paraId="6A364A38">
      <w:pPr>
        <w:numPr>
          <w:ilvl w:val="0"/>
          <w:numId w:val="30"/>
        </w:numPr>
        <w:spacing w:line="360" w:lineRule="auto"/>
        <w:ind w:firstLine="420" w:firstLineChars="200"/>
        <w:rPr>
          <w:rFonts w:hint="eastAsia" w:ascii="Times New Roman" w:hAnsi="Times New Roman" w:eastAsia="宋体" w:cs="Times New Roman"/>
          <w:highlight w:val="none"/>
        </w:rPr>
      </w:pPr>
      <w:r>
        <w:rPr>
          <w:rFonts w:hint="eastAsia" w:ascii="Times New Roman" w:hAnsi="Times New Roman" w:eastAsia="宋体" w:cs="Times New Roman"/>
          <w:highlight w:val="none"/>
        </w:rPr>
        <w:t>规格及外形</w:t>
      </w:r>
      <w:r>
        <w:rPr>
          <w:rFonts w:hint="eastAsia" w:ascii="Times New Roman" w:hAnsi="Times New Roman" w:eastAsia="宋体" w:cs="Times New Roman"/>
          <w:highlight w:val="none"/>
          <w:lang w:val="en-US" w:eastAsia="zh-CN"/>
        </w:rPr>
        <w:t>符合《零部件包装技术规范》</w:t>
      </w:r>
      <w:r>
        <w:rPr>
          <w:rFonts w:hint="eastAsia" w:ascii="Times New Roman" w:hAnsi="Times New Roman" w:eastAsia="宋体" w:cs="Times New Roman"/>
          <w:highlight w:val="none"/>
        </w:rPr>
        <w:t>；</w:t>
      </w:r>
    </w:p>
    <w:p w14:paraId="3E0652F5">
      <w:pPr>
        <w:spacing w:line="360" w:lineRule="auto"/>
        <w:ind w:firstLine="420" w:firstLineChars="200"/>
        <w:rPr>
          <w:highlight w:val="none"/>
        </w:rPr>
      </w:pPr>
      <w:r>
        <w:rPr>
          <w:rFonts w:hint="eastAsia"/>
          <w:highlight w:val="none"/>
        </w:rPr>
        <w:t>（</w:t>
      </w:r>
      <w:r>
        <w:rPr>
          <w:rFonts w:hint="eastAsia"/>
          <w:highlight w:val="none"/>
          <w:lang w:val="en-US" w:eastAsia="zh-CN"/>
        </w:rPr>
        <w:t>4</w:t>
      </w:r>
      <w:r>
        <w:rPr>
          <w:rFonts w:hint="eastAsia"/>
          <w:highlight w:val="none"/>
        </w:rPr>
        <w:t>）投标书、澄清文件的各项性能指标、技术参数，其它技术要求符合所列条款规定；</w:t>
      </w:r>
    </w:p>
    <w:p w14:paraId="6B4CE6D6">
      <w:pPr>
        <w:spacing w:line="360" w:lineRule="auto"/>
        <w:ind w:firstLine="420" w:firstLineChars="200"/>
        <w:rPr>
          <w:rFonts w:hint="eastAsia"/>
          <w:highlight w:val="none"/>
        </w:rPr>
      </w:pPr>
      <w:r>
        <w:rPr>
          <w:rFonts w:hint="eastAsia"/>
          <w:highlight w:val="none"/>
        </w:rPr>
        <w:t>（</w:t>
      </w:r>
      <w:r>
        <w:rPr>
          <w:rFonts w:hint="eastAsia"/>
          <w:highlight w:val="none"/>
          <w:lang w:val="en-US" w:eastAsia="zh-CN"/>
        </w:rPr>
        <w:t>5</w:t>
      </w:r>
      <w:r>
        <w:rPr>
          <w:rFonts w:hint="eastAsia"/>
          <w:highlight w:val="none"/>
        </w:rPr>
        <w:t>）操作指导书：操作指导书内必须有现场拍摄的实物操作图，需分步骤详细阐述如何规范、安全地操作使用该产品，明确出危险源。</w:t>
      </w:r>
    </w:p>
    <w:p w14:paraId="5FE4D251">
      <w:pPr>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b/>
          <w:bCs/>
          <w:sz w:val="28"/>
          <w:szCs w:val="28"/>
          <w:highlight w:val="none"/>
          <w:lang w:val="en-US" w:eastAsia="zh-CN"/>
        </w:rPr>
        <w:t>三、</w:t>
      </w:r>
      <w:r>
        <w:rPr>
          <w:rFonts w:hint="eastAsia" w:ascii="黑体" w:hAnsi="黑体" w:eastAsia="黑体" w:cs="Times New Roman"/>
          <w:b/>
          <w:bCs/>
          <w:sz w:val="28"/>
          <w:szCs w:val="28"/>
          <w:highlight w:val="none"/>
          <w:lang w:val="en-US" w:eastAsia="zh-CN"/>
        </w:rPr>
        <w:t>送货地点</w:t>
      </w:r>
    </w:p>
    <w:p w14:paraId="4BEB85B0">
      <w:pPr>
        <w:spacing w:line="360" w:lineRule="auto"/>
        <w:ind w:firstLine="420" w:firstLineChars="200"/>
        <w:rPr>
          <w:rFonts w:hint="default" w:ascii="宋体" w:hAnsi="宋体" w:eastAsia="宋体" w:cs="Times New Roman"/>
          <w:szCs w:val="24"/>
          <w:highlight w:val="none"/>
          <w:lang w:val="en-US" w:eastAsia="zh-CN"/>
        </w:rPr>
      </w:pPr>
      <w:r>
        <w:rPr>
          <w:rFonts w:hint="eastAsia" w:ascii="宋体" w:hAnsi="宋体" w:eastAsia="宋体" w:cs="Times New Roman"/>
          <w:color w:val="auto"/>
          <w:highlight w:val="none"/>
          <w:lang w:val="en-US" w:eastAsia="zh-CN"/>
        </w:rPr>
        <w:t>中国重汽集团济南汽车部件有限公司</w:t>
      </w:r>
      <w:r>
        <w:rPr>
          <w:rFonts w:hint="eastAsia" w:ascii="宋体" w:hAnsi="宋体" w:eastAsia="宋体" w:cs="Times New Roman"/>
          <w:szCs w:val="24"/>
          <w:highlight w:val="none"/>
          <w:lang w:val="en-US" w:eastAsia="zh-CN"/>
        </w:rPr>
        <w:t>指定地点。</w:t>
      </w:r>
    </w:p>
    <w:p w14:paraId="2EC80D9E">
      <w:pPr>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四、服务范围及要求</w:t>
      </w:r>
    </w:p>
    <w:p w14:paraId="2D7A2360">
      <w:pPr>
        <w:spacing w:line="360" w:lineRule="auto"/>
        <w:ind w:firstLine="422" w:firstLineChars="200"/>
        <w:rPr>
          <w:b/>
          <w:highlight w:val="none"/>
        </w:rPr>
      </w:pPr>
      <w:bookmarkStart w:id="24" w:name="_Toc519526980"/>
      <w:r>
        <w:rPr>
          <w:b/>
          <w:highlight w:val="none"/>
        </w:rPr>
        <w:t>1</w:t>
      </w:r>
      <w:r>
        <w:rPr>
          <w:rFonts w:hint="eastAsia"/>
          <w:b/>
          <w:highlight w:val="none"/>
        </w:rPr>
        <w:t>.制作</w:t>
      </w:r>
      <w:bookmarkEnd w:id="24"/>
    </w:p>
    <w:p w14:paraId="6E60E8DE">
      <w:pPr>
        <w:spacing w:line="360" w:lineRule="auto"/>
        <w:ind w:firstLine="420" w:firstLineChars="200"/>
        <w:rPr>
          <w:highlight w:val="none"/>
        </w:rPr>
      </w:pPr>
      <w:r>
        <w:rPr>
          <w:rFonts w:hint="eastAsia"/>
          <w:highlight w:val="none"/>
        </w:rPr>
        <w:t>（1）</w:t>
      </w:r>
      <w:r>
        <w:rPr>
          <w:rFonts w:hint="eastAsia"/>
          <w:highlight w:val="none"/>
          <w:lang w:val="en-US" w:eastAsia="zh-CN"/>
        </w:rPr>
        <w:t>工位器具及防护</w:t>
      </w:r>
      <w:r>
        <w:rPr>
          <w:rFonts w:hint="eastAsia"/>
          <w:highlight w:val="none"/>
        </w:rPr>
        <w:t>首个样件投标人必须及时交付至招标人</w:t>
      </w:r>
      <w:r>
        <w:rPr>
          <w:rFonts w:hint="eastAsia"/>
          <w:highlight w:val="none"/>
          <w:lang w:val="en-US" w:eastAsia="zh-CN"/>
        </w:rPr>
        <w:t>并</w:t>
      </w:r>
      <w:r>
        <w:rPr>
          <w:rFonts w:hint="eastAsia"/>
          <w:highlight w:val="none"/>
        </w:rPr>
        <w:t>进行评审确认，评审内容包括：质量、规格、性能、外观是否满足</w:t>
      </w:r>
      <w:r>
        <w:rPr>
          <w:rFonts w:hint="eastAsia"/>
          <w:highlight w:val="none"/>
          <w:lang w:val="en-US" w:eastAsia="zh-CN"/>
        </w:rPr>
        <w:t>技术要求</w:t>
      </w:r>
      <w:r>
        <w:rPr>
          <w:rFonts w:hint="eastAsia"/>
          <w:highlight w:val="none"/>
        </w:rPr>
        <w:t>、合同规定。评审会签确认合格后，投标人</w:t>
      </w:r>
      <w:r>
        <w:rPr>
          <w:rFonts w:hint="eastAsia"/>
          <w:highlight w:val="none"/>
          <w:lang w:val="en-US" w:eastAsia="zh-CN"/>
        </w:rPr>
        <w:t>方可</w:t>
      </w:r>
      <w:r>
        <w:rPr>
          <w:rFonts w:hint="eastAsia"/>
          <w:highlight w:val="none"/>
        </w:rPr>
        <w:t>进行批量制作。</w:t>
      </w:r>
    </w:p>
    <w:p w14:paraId="217499B2">
      <w:pPr>
        <w:spacing w:line="360" w:lineRule="auto"/>
        <w:ind w:firstLine="420" w:firstLineChars="200"/>
        <w:rPr>
          <w:highlight w:val="none"/>
        </w:rPr>
      </w:pPr>
      <w:r>
        <w:rPr>
          <w:rFonts w:hint="eastAsia"/>
          <w:highlight w:val="none"/>
        </w:rPr>
        <w:t>（2）投标人在设计、制作过程中发现与招标人要求不符或确实达不到要求的及其它存在的技术问题，应及时以书面形式通知招标人。</w:t>
      </w:r>
    </w:p>
    <w:p w14:paraId="5AC03110">
      <w:pPr>
        <w:spacing w:line="360" w:lineRule="auto"/>
        <w:ind w:firstLine="422" w:firstLineChars="200"/>
        <w:rPr>
          <w:b/>
          <w:highlight w:val="none"/>
        </w:rPr>
      </w:pPr>
      <w:bookmarkStart w:id="25" w:name="_Toc519526981"/>
      <w:r>
        <w:rPr>
          <w:b/>
          <w:highlight w:val="none"/>
        </w:rPr>
        <w:t>2</w:t>
      </w:r>
      <w:r>
        <w:rPr>
          <w:rFonts w:hint="eastAsia"/>
          <w:b/>
          <w:highlight w:val="none"/>
        </w:rPr>
        <w:t>.运输</w:t>
      </w:r>
      <w:bookmarkEnd w:id="25"/>
    </w:p>
    <w:p w14:paraId="6293C179">
      <w:pPr>
        <w:spacing w:line="360" w:lineRule="auto"/>
        <w:ind w:firstLine="420" w:firstLineChars="200"/>
        <w:rPr>
          <w:highlight w:val="none"/>
        </w:rPr>
      </w:pPr>
      <w:r>
        <w:rPr>
          <w:rFonts w:hint="eastAsia"/>
          <w:highlight w:val="none"/>
        </w:rPr>
        <w:t>（1）清单：投标人需提供发货总清单方便招标人核对，提供分箱发货清单方便核对；提供到货验收单以便记录货物状态。</w:t>
      </w:r>
    </w:p>
    <w:p w14:paraId="0DE601D0">
      <w:pPr>
        <w:spacing w:line="360" w:lineRule="auto"/>
        <w:ind w:firstLine="420" w:firstLineChars="200"/>
        <w:rPr>
          <w:highlight w:val="none"/>
        </w:rPr>
      </w:pPr>
      <w:r>
        <w:rPr>
          <w:rFonts w:hint="eastAsia"/>
          <w:highlight w:val="none"/>
        </w:rPr>
        <w:t>（2）投标人应考虑所长途运输</w:t>
      </w:r>
      <w:r>
        <w:rPr>
          <w:rFonts w:hint="eastAsia"/>
          <w:highlight w:val="none"/>
          <w:lang w:eastAsia="zh-CN"/>
        </w:rPr>
        <w:t>、</w:t>
      </w:r>
      <w:r>
        <w:rPr>
          <w:rFonts w:hint="eastAsia"/>
          <w:highlight w:val="none"/>
        </w:rPr>
        <w:t>防潮、防雨、防锈、防震、防粗暴装卸，能整体吊装和叉运，确保安全及完整；</w:t>
      </w:r>
      <w:r>
        <w:rPr>
          <w:rFonts w:hint="eastAsia"/>
          <w:highlight w:val="none"/>
          <w:lang w:val="en-US" w:eastAsia="zh-CN"/>
        </w:rPr>
        <w:t>运输</w:t>
      </w:r>
      <w:r>
        <w:rPr>
          <w:rFonts w:hint="eastAsia"/>
          <w:highlight w:val="none"/>
        </w:rPr>
        <w:t>要符合道路运输要求。</w:t>
      </w:r>
    </w:p>
    <w:p w14:paraId="43CD3316">
      <w:pPr>
        <w:spacing w:line="360" w:lineRule="auto"/>
        <w:ind w:firstLine="420" w:firstLineChars="200"/>
        <w:rPr>
          <w:highlight w:val="none"/>
        </w:rPr>
      </w:pPr>
      <w:r>
        <w:rPr>
          <w:rFonts w:hint="eastAsia"/>
          <w:highlight w:val="none"/>
        </w:rPr>
        <w:t>（3）投标人负责将产品安全运至合同中指定的交货地点并负责与装卸搬运相关的一切事项。投标人应选择符合合同目的的运输方式，并提前两个工作日告知招标人预计到达时间。</w:t>
      </w:r>
    </w:p>
    <w:p w14:paraId="3136CD32">
      <w:pPr>
        <w:spacing w:line="360" w:lineRule="auto"/>
        <w:ind w:firstLine="422" w:firstLineChars="200"/>
        <w:rPr>
          <w:b/>
          <w:highlight w:val="none"/>
        </w:rPr>
      </w:pPr>
      <w:bookmarkStart w:id="26" w:name="_Toc519526982"/>
      <w:r>
        <w:rPr>
          <w:b/>
          <w:highlight w:val="none"/>
        </w:rPr>
        <w:t>3</w:t>
      </w:r>
      <w:r>
        <w:rPr>
          <w:rFonts w:hint="eastAsia"/>
          <w:b/>
          <w:highlight w:val="none"/>
        </w:rPr>
        <w:t>.交货</w:t>
      </w:r>
      <w:bookmarkEnd w:id="26"/>
    </w:p>
    <w:p w14:paraId="2EBCB103">
      <w:pPr>
        <w:spacing w:line="360" w:lineRule="auto"/>
        <w:ind w:firstLine="420" w:firstLineChars="200"/>
        <w:rPr>
          <w:highlight w:val="none"/>
        </w:rPr>
      </w:pPr>
      <w:r>
        <w:rPr>
          <w:rFonts w:hint="eastAsia"/>
          <w:highlight w:val="none"/>
        </w:rPr>
        <w:t>（1）招标人、投标人双方代表共同目检器具外观、清点</w:t>
      </w:r>
      <w:r>
        <w:rPr>
          <w:rFonts w:hint="eastAsia"/>
          <w:highlight w:val="none"/>
          <w:lang w:val="en-US" w:eastAsia="zh-CN"/>
        </w:rPr>
        <w:t>配件</w:t>
      </w:r>
      <w:r>
        <w:rPr>
          <w:rFonts w:hint="eastAsia"/>
          <w:highlight w:val="none"/>
        </w:rPr>
        <w:t>数量是否与发货单一致，填入《到货验收单》。</w:t>
      </w:r>
    </w:p>
    <w:p w14:paraId="340FEA8D">
      <w:pPr>
        <w:spacing w:line="360" w:lineRule="auto"/>
        <w:ind w:firstLine="420" w:firstLineChars="200"/>
        <w:rPr>
          <w:highlight w:val="none"/>
        </w:rPr>
      </w:pPr>
      <w:r>
        <w:rPr>
          <w:rFonts w:hint="eastAsia"/>
          <w:highlight w:val="none"/>
        </w:rPr>
        <w:t>（2）</w:t>
      </w:r>
      <w:r>
        <w:rPr>
          <w:rFonts w:hint="eastAsia"/>
          <w:highlight w:val="none"/>
          <w:lang w:val="en-US" w:eastAsia="zh-CN"/>
        </w:rPr>
        <w:t>配件</w:t>
      </w:r>
      <w:r>
        <w:rPr>
          <w:rFonts w:hint="eastAsia"/>
          <w:highlight w:val="none"/>
        </w:rPr>
        <w:t>质量和数量的检查按发运清单核对并记入《到货验收单》。</w:t>
      </w:r>
    </w:p>
    <w:p w14:paraId="38A84F90">
      <w:pPr>
        <w:spacing w:line="360" w:lineRule="auto"/>
        <w:ind w:firstLine="422" w:firstLineChars="200"/>
        <w:rPr>
          <w:b/>
          <w:highlight w:val="none"/>
        </w:rPr>
      </w:pPr>
      <w:r>
        <w:rPr>
          <w:b/>
          <w:highlight w:val="none"/>
        </w:rPr>
        <w:t>4</w:t>
      </w:r>
      <w:r>
        <w:rPr>
          <w:rFonts w:hint="eastAsia"/>
          <w:b/>
          <w:highlight w:val="none"/>
        </w:rPr>
        <w:t>.评审验收</w:t>
      </w:r>
    </w:p>
    <w:p w14:paraId="34EDB7B1">
      <w:pPr>
        <w:spacing w:line="360" w:lineRule="auto"/>
        <w:ind w:firstLine="420" w:firstLineChars="200"/>
        <w:rPr>
          <w:highlight w:val="none"/>
        </w:rPr>
      </w:pPr>
      <w:r>
        <w:rPr>
          <w:rFonts w:hint="eastAsia"/>
          <w:highlight w:val="none"/>
        </w:rPr>
        <w:t>（1）投标人以书面信函通知招标人，验收前三天书面提交最终版清单。经招标人确认达到预验收条件后即通知投标人组织人员验收，招标人派相应人员参加。</w:t>
      </w:r>
    </w:p>
    <w:p w14:paraId="0682C727">
      <w:pPr>
        <w:spacing w:line="360" w:lineRule="auto"/>
        <w:ind w:firstLine="420" w:firstLineChars="200"/>
        <w:rPr>
          <w:highlight w:val="none"/>
        </w:rPr>
      </w:pPr>
      <w:r>
        <w:rPr>
          <w:rFonts w:hint="eastAsia"/>
          <w:highlight w:val="none"/>
        </w:rPr>
        <w:t>（2）验收地点：</w:t>
      </w:r>
      <w:r>
        <w:rPr>
          <w:rFonts w:hint="eastAsia" w:ascii="宋体" w:hAnsi="宋体" w:eastAsia="宋体" w:cs="Times New Roman"/>
          <w:color w:val="auto"/>
          <w:highlight w:val="none"/>
          <w:lang w:val="en-US" w:eastAsia="zh-CN"/>
        </w:rPr>
        <w:t>中国重汽集团济南汽车部件有限公司</w:t>
      </w:r>
      <w:r>
        <w:rPr>
          <w:rFonts w:hint="eastAsia"/>
          <w:highlight w:val="none"/>
        </w:rPr>
        <w:t>或招标人指定地点。</w:t>
      </w:r>
    </w:p>
    <w:p w14:paraId="4813B308">
      <w:pPr>
        <w:spacing w:line="360" w:lineRule="auto"/>
        <w:ind w:firstLine="420" w:firstLineChars="200"/>
        <w:rPr>
          <w:highlight w:val="none"/>
        </w:rPr>
      </w:pPr>
      <w:r>
        <w:rPr>
          <w:rFonts w:hint="eastAsia"/>
          <w:highlight w:val="none"/>
        </w:rPr>
        <w:t>（3）验收内容：验收以技术协议及合同（含变更）、图纸方案、投标文件（含询标答疑）、会签纪要等文件为依据进行。主要</w:t>
      </w:r>
      <w:r>
        <w:rPr>
          <w:highlight w:val="none"/>
        </w:rPr>
        <w:t>验收内容</w:t>
      </w:r>
      <w:r>
        <w:rPr>
          <w:rFonts w:hint="eastAsia"/>
          <w:highlight w:val="none"/>
        </w:rPr>
        <w:t>：种类、结构</w:t>
      </w:r>
      <w:r>
        <w:rPr>
          <w:highlight w:val="none"/>
        </w:rPr>
        <w:t>、</w:t>
      </w:r>
      <w:r>
        <w:rPr>
          <w:rFonts w:hint="eastAsia"/>
          <w:highlight w:val="none"/>
        </w:rPr>
        <w:t>数量、主要</w:t>
      </w:r>
      <w:r>
        <w:rPr>
          <w:highlight w:val="none"/>
        </w:rPr>
        <w:t>零部件、质量</w:t>
      </w:r>
      <w:r>
        <w:rPr>
          <w:rFonts w:hint="eastAsia"/>
          <w:highlight w:val="none"/>
        </w:rPr>
        <w:t>等</w:t>
      </w:r>
      <w:r>
        <w:rPr>
          <w:highlight w:val="none"/>
        </w:rPr>
        <w:t>。</w:t>
      </w:r>
    </w:p>
    <w:p w14:paraId="317DC3A0">
      <w:pPr>
        <w:spacing w:line="360" w:lineRule="auto"/>
        <w:ind w:firstLine="420" w:firstLineChars="200"/>
        <w:rPr>
          <w:highlight w:val="none"/>
        </w:rPr>
      </w:pPr>
      <w:r>
        <w:rPr>
          <w:rFonts w:hint="eastAsia"/>
          <w:highlight w:val="none"/>
        </w:rPr>
        <w:t>（4）投标人提供相应的验收用的检测工量具和仪器，</w:t>
      </w:r>
      <w:r>
        <w:rPr>
          <w:rFonts w:hint="eastAsia"/>
          <w:highlight w:val="none"/>
          <w:lang w:val="en-US" w:eastAsia="zh-CN"/>
        </w:rPr>
        <w:t>配件</w:t>
      </w:r>
      <w:r>
        <w:rPr>
          <w:rFonts w:hint="eastAsia"/>
          <w:highlight w:val="none"/>
        </w:rPr>
        <w:t>预验收后，由双方授权代表签署预验收报告书。</w:t>
      </w:r>
    </w:p>
    <w:p w14:paraId="5CC11E50">
      <w:pPr>
        <w:spacing w:line="360" w:lineRule="auto"/>
        <w:ind w:firstLine="420" w:firstLineChars="200"/>
        <w:rPr>
          <w:rFonts w:hint="eastAsia"/>
          <w:highlight w:val="none"/>
        </w:rPr>
      </w:pPr>
      <w:r>
        <w:rPr>
          <w:rFonts w:hint="eastAsia"/>
          <w:highlight w:val="none"/>
        </w:rPr>
        <w:t>（5）</w:t>
      </w:r>
      <w:r>
        <w:rPr>
          <w:rFonts w:hint="eastAsia"/>
          <w:b/>
          <w:highlight w:val="none"/>
        </w:rPr>
        <w:t>验收不合格，招标人有权拒收此批货物，</w:t>
      </w:r>
      <w:r>
        <w:rPr>
          <w:rFonts w:hint="eastAsia"/>
          <w:highlight w:val="none"/>
        </w:rPr>
        <w:t>投标人需在7个自然日内另外发货再次运送到招标人指定地点。</w:t>
      </w:r>
    </w:p>
    <w:p w14:paraId="6F8591FD">
      <w:pPr>
        <w:spacing w:line="360" w:lineRule="auto"/>
        <w:ind w:firstLine="422" w:firstLineChars="200"/>
        <w:rPr>
          <w:b/>
          <w:highlight w:val="none"/>
        </w:rPr>
      </w:pPr>
      <w:bookmarkStart w:id="27" w:name="_Toc26857"/>
      <w:bookmarkStart w:id="28" w:name="_Toc519526988"/>
      <w:bookmarkStart w:id="29" w:name="_Toc12351"/>
      <w:bookmarkStart w:id="30" w:name="_Toc339268557"/>
      <w:r>
        <w:rPr>
          <w:b/>
          <w:highlight w:val="none"/>
        </w:rPr>
        <w:t>5</w:t>
      </w:r>
      <w:r>
        <w:rPr>
          <w:rFonts w:hint="eastAsia"/>
          <w:b/>
          <w:highlight w:val="none"/>
        </w:rPr>
        <w:t>.质保及售后服务</w:t>
      </w:r>
      <w:bookmarkEnd w:id="27"/>
      <w:bookmarkEnd w:id="28"/>
    </w:p>
    <w:p w14:paraId="5947F9B7">
      <w:pPr>
        <w:spacing w:line="360" w:lineRule="auto"/>
        <w:ind w:firstLine="420" w:firstLineChars="200"/>
        <w:rPr>
          <w:highlight w:val="none"/>
        </w:rPr>
      </w:pPr>
      <w:r>
        <w:rPr>
          <w:rFonts w:hint="eastAsia"/>
          <w:highlight w:val="none"/>
        </w:rPr>
        <w:t>（1）投标人在招标人现场调试、试生产阶段，须协助招标人技术及物流人员进行器具的使用指导及问题解决。</w:t>
      </w:r>
    </w:p>
    <w:p w14:paraId="7FEAF9B2">
      <w:pPr>
        <w:spacing w:line="360" w:lineRule="auto"/>
        <w:ind w:firstLine="420" w:firstLineChars="200"/>
        <w:rPr>
          <w:highlight w:val="none"/>
        </w:rPr>
      </w:pPr>
      <w:r>
        <w:rPr>
          <w:rFonts w:hint="eastAsia"/>
          <w:highlight w:val="none"/>
        </w:rPr>
        <w:t>（2）</w:t>
      </w:r>
      <w:r>
        <w:rPr>
          <w:rFonts w:hint="eastAsia"/>
          <w:highlight w:val="none"/>
          <w:lang w:val="en-US" w:eastAsia="zh-CN"/>
        </w:rPr>
        <w:t>工位器具</w:t>
      </w:r>
      <w:r>
        <w:rPr>
          <w:rFonts w:hint="eastAsia"/>
          <w:highlight w:val="none"/>
        </w:rPr>
        <w:t>质保期</w:t>
      </w:r>
      <w:r>
        <w:rPr>
          <w:highlight w:val="none"/>
        </w:rPr>
        <w:t>至少</w:t>
      </w:r>
      <w:r>
        <w:rPr>
          <w:rFonts w:hint="eastAsia"/>
          <w:highlight w:val="none"/>
          <w:lang w:val="en-US" w:eastAsia="zh-CN"/>
        </w:rPr>
        <w:t>1</w:t>
      </w:r>
      <w:r>
        <w:rPr>
          <w:rFonts w:hint="eastAsia"/>
          <w:highlight w:val="none"/>
        </w:rPr>
        <w:t>年</w:t>
      </w:r>
      <w:r>
        <w:rPr>
          <w:rFonts w:hint="eastAsia"/>
          <w:highlight w:val="none"/>
          <w:lang w:eastAsia="zh-CN"/>
        </w:rPr>
        <w:t>，</w:t>
      </w:r>
      <w:r>
        <w:rPr>
          <w:rFonts w:hint="eastAsia"/>
          <w:highlight w:val="none"/>
          <w:lang w:val="en-US" w:eastAsia="zh-CN"/>
        </w:rPr>
        <w:t>聚氨酯防护</w:t>
      </w:r>
      <w:r>
        <w:rPr>
          <w:rFonts w:hint="eastAsia"/>
          <w:highlight w:val="none"/>
        </w:rPr>
        <w:t>质保期</w:t>
      </w:r>
      <w:r>
        <w:rPr>
          <w:rFonts w:hint="eastAsia"/>
          <w:highlight w:val="none"/>
          <w:lang w:val="en-US" w:eastAsia="zh-CN"/>
        </w:rPr>
        <w:t>至少5年</w:t>
      </w:r>
      <w:r>
        <w:rPr>
          <w:rFonts w:hint="eastAsia"/>
          <w:highlight w:val="none"/>
        </w:rPr>
        <w:t>。</w:t>
      </w:r>
    </w:p>
    <w:p w14:paraId="2F61A6BE">
      <w:pPr>
        <w:spacing w:line="360" w:lineRule="auto"/>
        <w:ind w:firstLine="420" w:firstLineChars="200"/>
        <w:rPr>
          <w:highlight w:val="none"/>
        </w:rPr>
      </w:pPr>
      <w:r>
        <w:rPr>
          <w:rFonts w:hint="eastAsia"/>
          <w:highlight w:val="none"/>
        </w:rPr>
        <w:t>（3）</w:t>
      </w:r>
      <w:bookmarkEnd w:id="29"/>
      <w:bookmarkEnd w:id="30"/>
      <w:r>
        <w:rPr>
          <w:rFonts w:hint="eastAsia"/>
          <w:highlight w:val="none"/>
        </w:rPr>
        <w:t>质保期内出现</w:t>
      </w:r>
      <w:r>
        <w:rPr>
          <w:highlight w:val="none"/>
        </w:rPr>
        <w:t>质量问题</w:t>
      </w:r>
      <w:r>
        <w:rPr>
          <w:rFonts w:hint="eastAsia"/>
          <w:highlight w:val="none"/>
        </w:rPr>
        <w:t>（非</w:t>
      </w:r>
      <w:r>
        <w:rPr>
          <w:highlight w:val="none"/>
        </w:rPr>
        <w:t>人为损坏</w:t>
      </w:r>
      <w:r>
        <w:rPr>
          <w:rFonts w:hint="eastAsia"/>
          <w:highlight w:val="none"/>
        </w:rPr>
        <w:t>），必须免费</w:t>
      </w:r>
      <w:r>
        <w:rPr>
          <w:highlight w:val="none"/>
        </w:rPr>
        <w:t>换新</w:t>
      </w:r>
      <w:r>
        <w:rPr>
          <w:rFonts w:hint="eastAsia"/>
          <w:highlight w:val="none"/>
        </w:rPr>
        <w:t>。</w:t>
      </w:r>
    </w:p>
    <w:p w14:paraId="30BDE8E7">
      <w:pPr>
        <w:spacing w:line="360" w:lineRule="auto"/>
        <w:ind w:firstLine="420" w:firstLineChars="200"/>
        <w:rPr>
          <w:highlight w:val="none"/>
        </w:rPr>
      </w:pPr>
      <w:r>
        <w:rPr>
          <w:rFonts w:hint="eastAsia"/>
          <w:highlight w:val="none"/>
        </w:rPr>
        <w:t>（4）质保期外，投标人有义务解答招标人所提出的技术问题并提供技术支持，可提供优质的售后服务及优惠的备件服务。</w:t>
      </w:r>
    </w:p>
    <w:p w14:paraId="07952C00">
      <w:pPr>
        <w:spacing w:line="360" w:lineRule="auto"/>
        <w:rPr>
          <w:rFonts w:hint="eastAsia" w:ascii="黑体" w:hAnsi="黑体" w:eastAsia="黑体" w:cs="Times New Roman"/>
          <w:b/>
          <w:bCs/>
          <w:sz w:val="28"/>
          <w:szCs w:val="28"/>
          <w:highlight w:val="none"/>
          <w:lang w:val="en-US" w:eastAsia="zh-CN"/>
        </w:rPr>
      </w:pPr>
      <w:r>
        <w:rPr>
          <w:rFonts w:hint="eastAsia" w:ascii="黑体" w:hAnsi="黑体" w:eastAsia="黑体" w:cs="Times New Roman"/>
          <w:b/>
          <w:bCs/>
          <w:sz w:val="28"/>
          <w:szCs w:val="28"/>
          <w:highlight w:val="none"/>
          <w:lang w:val="en-US" w:eastAsia="zh-CN"/>
        </w:rPr>
        <w:t>五、</w:t>
      </w:r>
      <w:r>
        <w:rPr>
          <w:rFonts w:hint="eastAsia" w:ascii="黑体" w:hAnsi="黑体" w:eastAsia="黑体"/>
          <w:b/>
          <w:bCs/>
          <w:sz w:val="28"/>
          <w:szCs w:val="28"/>
          <w:highlight w:val="none"/>
          <w:lang w:val="en-US" w:eastAsia="zh-CN"/>
        </w:rPr>
        <w:t>配件</w:t>
      </w:r>
      <w:r>
        <w:rPr>
          <w:rFonts w:hint="eastAsia" w:ascii="黑体" w:hAnsi="黑体" w:eastAsia="黑体"/>
          <w:b/>
          <w:bCs/>
          <w:sz w:val="28"/>
          <w:szCs w:val="28"/>
          <w:highlight w:val="none"/>
        </w:rPr>
        <w:t>参数</w:t>
      </w:r>
    </w:p>
    <w:p w14:paraId="04129417">
      <w:pPr>
        <w:spacing w:line="360" w:lineRule="auto"/>
        <w:rPr>
          <w:highlight w:val="none"/>
        </w:rPr>
      </w:pPr>
    </w:p>
    <w:tbl>
      <w:tblPr>
        <w:tblStyle w:val="30"/>
        <w:tblW w:w="902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70"/>
        <w:gridCol w:w="2959"/>
        <w:gridCol w:w="2619"/>
        <w:gridCol w:w="2181"/>
      </w:tblGrid>
      <w:tr w14:paraId="5E325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270" w:type="dxa"/>
            <w:tcBorders>
              <w:top w:val="single" w:color="000000" w:sz="4" w:space="0"/>
              <w:left w:val="single" w:color="000000" w:sz="4" w:space="0"/>
              <w:bottom w:val="single" w:color="000000" w:sz="4" w:space="0"/>
              <w:right w:val="single" w:color="000000" w:sz="4" w:space="0"/>
            </w:tcBorders>
            <w:noWrap w:val="0"/>
            <w:vAlign w:val="center"/>
          </w:tcPr>
          <w:p w14:paraId="3DADBE0D">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序号</w:t>
            </w:r>
          </w:p>
        </w:tc>
        <w:tc>
          <w:tcPr>
            <w:tcW w:w="2959" w:type="dxa"/>
            <w:tcBorders>
              <w:top w:val="single" w:color="000000" w:sz="4" w:space="0"/>
              <w:left w:val="single" w:color="000000" w:sz="4" w:space="0"/>
              <w:bottom w:val="single" w:color="000000" w:sz="4" w:space="0"/>
              <w:right w:val="single" w:color="000000" w:sz="4" w:space="0"/>
            </w:tcBorders>
            <w:noWrap/>
            <w:vAlign w:val="center"/>
          </w:tcPr>
          <w:p w14:paraId="4BC5557A">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产品名称</w:t>
            </w:r>
          </w:p>
        </w:tc>
        <w:tc>
          <w:tcPr>
            <w:tcW w:w="2619" w:type="dxa"/>
            <w:tcBorders>
              <w:top w:val="single" w:color="000000" w:sz="4" w:space="0"/>
              <w:left w:val="single" w:color="000000" w:sz="4" w:space="0"/>
              <w:bottom w:val="single" w:color="000000" w:sz="4" w:space="0"/>
              <w:right w:val="nil"/>
            </w:tcBorders>
            <w:noWrap/>
            <w:vAlign w:val="center"/>
          </w:tcPr>
          <w:p w14:paraId="487D42ED">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规格型号</w:t>
            </w:r>
          </w:p>
        </w:tc>
        <w:tc>
          <w:tcPr>
            <w:tcW w:w="2181" w:type="dxa"/>
            <w:tcBorders>
              <w:top w:val="single" w:color="000000" w:sz="4" w:space="0"/>
              <w:left w:val="single" w:color="000000" w:sz="4" w:space="0"/>
              <w:bottom w:val="single" w:color="000000" w:sz="4" w:space="0"/>
              <w:right w:val="single" w:color="000000" w:sz="4" w:space="0"/>
            </w:tcBorders>
            <w:noWrap/>
            <w:vAlign w:val="center"/>
          </w:tcPr>
          <w:p w14:paraId="10438C53">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备注</w:t>
            </w:r>
          </w:p>
        </w:tc>
      </w:tr>
      <w:tr w14:paraId="0A6AA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270" w:type="dxa"/>
            <w:tcBorders>
              <w:top w:val="single" w:color="000000" w:sz="4" w:space="0"/>
              <w:left w:val="single" w:color="000000" w:sz="4" w:space="0"/>
              <w:bottom w:val="single" w:color="000000" w:sz="4" w:space="0"/>
              <w:right w:val="single" w:color="000000" w:sz="4" w:space="0"/>
            </w:tcBorders>
            <w:noWrap w:val="0"/>
            <w:vAlign w:val="center"/>
          </w:tcPr>
          <w:p w14:paraId="4122308C">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2959" w:type="dxa"/>
            <w:tcBorders>
              <w:top w:val="single" w:color="000000" w:sz="4" w:space="0"/>
              <w:left w:val="single" w:color="000000" w:sz="4" w:space="0"/>
              <w:bottom w:val="single" w:color="000000" w:sz="4" w:space="0"/>
              <w:right w:val="single" w:color="000000" w:sz="4" w:space="0"/>
            </w:tcBorders>
            <w:noWrap w:val="0"/>
            <w:vAlign w:val="center"/>
          </w:tcPr>
          <w:p w14:paraId="1FA4851B">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横拉杆发交专用工位器具</w:t>
            </w:r>
          </w:p>
        </w:tc>
        <w:tc>
          <w:tcPr>
            <w:tcW w:w="2619" w:type="dxa"/>
            <w:tcBorders>
              <w:top w:val="single" w:color="000000" w:sz="4" w:space="0"/>
              <w:left w:val="single" w:color="000000" w:sz="4" w:space="0"/>
              <w:bottom w:val="single" w:color="000000" w:sz="4" w:space="0"/>
              <w:right w:val="nil"/>
            </w:tcBorders>
            <w:noWrap w:val="0"/>
            <w:vAlign w:val="center"/>
          </w:tcPr>
          <w:p w14:paraId="333483BF">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1110*700*303mm</w:t>
            </w:r>
          </w:p>
        </w:tc>
        <w:tc>
          <w:tcPr>
            <w:tcW w:w="2181" w:type="dxa"/>
            <w:tcBorders>
              <w:top w:val="single" w:color="000000" w:sz="4" w:space="0"/>
              <w:left w:val="single" w:color="000000" w:sz="4" w:space="0"/>
              <w:bottom w:val="single" w:color="000000" w:sz="4" w:space="0"/>
              <w:right w:val="single" w:color="000000" w:sz="4" w:space="0"/>
            </w:tcBorders>
            <w:noWrap w:val="0"/>
            <w:vAlign w:val="center"/>
          </w:tcPr>
          <w:p w14:paraId="7F03398A">
            <w:pPr>
              <w:jc w:val="center"/>
              <w:rPr>
                <w:rFonts w:hint="eastAsia" w:ascii="宋体" w:hAnsi="宋体" w:eastAsia="宋体" w:cs="宋体"/>
                <w:i w:val="0"/>
                <w:iCs w:val="0"/>
                <w:color w:val="000000"/>
                <w:sz w:val="18"/>
                <w:szCs w:val="18"/>
                <w:highlight w:val="none"/>
                <w:u w:val="none"/>
              </w:rPr>
            </w:pPr>
          </w:p>
        </w:tc>
      </w:tr>
      <w:tr w14:paraId="018A7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270" w:type="dxa"/>
            <w:tcBorders>
              <w:top w:val="single" w:color="000000" w:sz="4" w:space="0"/>
              <w:left w:val="single" w:color="000000" w:sz="4" w:space="0"/>
              <w:bottom w:val="single" w:color="000000" w:sz="4" w:space="0"/>
              <w:right w:val="single" w:color="000000" w:sz="4" w:space="0"/>
            </w:tcBorders>
            <w:noWrap w:val="0"/>
            <w:vAlign w:val="center"/>
          </w:tcPr>
          <w:p w14:paraId="0EFFE3C2">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2959" w:type="dxa"/>
            <w:tcBorders>
              <w:top w:val="single" w:color="000000" w:sz="4" w:space="0"/>
              <w:left w:val="single" w:color="000000" w:sz="4" w:space="0"/>
              <w:bottom w:val="single" w:color="000000" w:sz="4" w:space="0"/>
              <w:right w:val="single" w:color="000000" w:sz="4" w:space="0"/>
            </w:tcBorders>
            <w:noWrap w:val="0"/>
            <w:vAlign w:val="center"/>
          </w:tcPr>
          <w:p w14:paraId="637F77AD">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横拉杆四凹防护</w:t>
            </w:r>
          </w:p>
        </w:tc>
        <w:tc>
          <w:tcPr>
            <w:tcW w:w="2619" w:type="dxa"/>
            <w:tcBorders>
              <w:top w:val="single" w:color="000000" w:sz="4" w:space="0"/>
              <w:left w:val="single" w:color="000000" w:sz="4" w:space="0"/>
              <w:bottom w:val="single" w:color="000000" w:sz="4" w:space="0"/>
              <w:right w:val="nil"/>
            </w:tcBorders>
            <w:noWrap w:val="0"/>
            <w:vAlign w:val="center"/>
          </w:tcPr>
          <w:p w14:paraId="268EBE32">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900*40*50mm</w:t>
            </w:r>
          </w:p>
        </w:tc>
        <w:tc>
          <w:tcPr>
            <w:tcW w:w="2181" w:type="dxa"/>
            <w:tcBorders>
              <w:top w:val="single" w:color="000000" w:sz="4" w:space="0"/>
              <w:left w:val="single" w:color="000000" w:sz="4" w:space="0"/>
              <w:bottom w:val="single" w:color="000000" w:sz="4" w:space="0"/>
              <w:right w:val="single" w:color="000000" w:sz="4" w:space="0"/>
            </w:tcBorders>
            <w:noWrap w:val="0"/>
            <w:vAlign w:val="center"/>
          </w:tcPr>
          <w:p w14:paraId="4BA7445B">
            <w:pPr>
              <w:jc w:val="center"/>
              <w:rPr>
                <w:rFonts w:hint="eastAsia" w:ascii="宋体" w:hAnsi="宋体" w:eastAsia="宋体" w:cs="宋体"/>
                <w:i w:val="0"/>
                <w:iCs w:val="0"/>
                <w:color w:val="000000"/>
                <w:sz w:val="18"/>
                <w:szCs w:val="18"/>
                <w:highlight w:val="none"/>
                <w:u w:val="none"/>
              </w:rPr>
            </w:pPr>
          </w:p>
        </w:tc>
      </w:tr>
      <w:tr w14:paraId="343F2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270" w:type="dxa"/>
            <w:tcBorders>
              <w:top w:val="single" w:color="000000" w:sz="4" w:space="0"/>
              <w:left w:val="single" w:color="000000" w:sz="4" w:space="0"/>
              <w:bottom w:val="single" w:color="000000" w:sz="4" w:space="0"/>
              <w:right w:val="single" w:color="000000" w:sz="4" w:space="0"/>
            </w:tcBorders>
            <w:noWrap w:val="0"/>
            <w:vAlign w:val="center"/>
          </w:tcPr>
          <w:p w14:paraId="5F57B1AB">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3</w:t>
            </w:r>
          </w:p>
        </w:tc>
        <w:tc>
          <w:tcPr>
            <w:tcW w:w="2959" w:type="dxa"/>
            <w:tcBorders>
              <w:top w:val="single" w:color="000000" w:sz="4" w:space="0"/>
              <w:left w:val="single" w:color="000000" w:sz="4" w:space="0"/>
              <w:bottom w:val="single" w:color="000000" w:sz="4" w:space="0"/>
              <w:right w:val="single" w:color="000000" w:sz="4" w:space="0"/>
            </w:tcBorders>
            <w:noWrap w:val="0"/>
            <w:vAlign w:val="center"/>
          </w:tcPr>
          <w:p w14:paraId="6206777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V推发交器具半圆防护</w:t>
            </w:r>
          </w:p>
        </w:tc>
        <w:tc>
          <w:tcPr>
            <w:tcW w:w="2619" w:type="dxa"/>
            <w:tcBorders>
              <w:top w:val="single" w:color="000000" w:sz="4" w:space="0"/>
              <w:left w:val="single" w:color="000000" w:sz="4" w:space="0"/>
              <w:bottom w:val="single" w:color="000000" w:sz="4" w:space="0"/>
              <w:right w:val="nil"/>
            </w:tcBorders>
            <w:noWrap w:val="0"/>
            <w:vAlign w:val="center"/>
          </w:tcPr>
          <w:p w14:paraId="374DCE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120*50*80mm</w:t>
            </w:r>
          </w:p>
        </w:tc>
        <w:tc>
          <w:tcPr>
            <w:tcW w:w="2181" w:type="dxa"/>
            <w:tcBorders>
              <w:top w:val="single" w:color="000000" w:sz="4" w:space="0"/>
              <w:left w:val="single" w:color="000000" w:sz="4" w:space="0"/>
              <w:bottom w:val="single" w:color="000000" w:sz="4" w:space="0"/>
              <w:right w:val="single" w:color="000000" w:sz="4" w:space="0"/>
            </w:tcBorders>
            <w:noWrap w:val="0"/>
            <w:vAlign w:val="center"/>
          </w:tcPr>
          <w:p w14:paraId="6D1B3309">
            <w:pPr>
              <w:jc w:val="center"/>
              <w:rPr>
                <w:rFonts w:hint="eastAsia" w:ascii="宋体" w:hAnsi="宋体" w:eastAsia="宋体" w:cs="宋体"/>
                <w:i w:val="0"/>
                <w:iCs w:val="0"/>
                <w:color w:val="000000"/>
                <w:sz w:val="18"/>
                <w:szCs w:val="18"/>
                <w:highlight w:val="none"/>
                <w:u w:val="none"/>
              </w:rPr>
            </w:pPr>
          </w:p>
        </w:tc>
      </w:tr>
      <w:bookmarkEnd w:id="23"/>
    </w:tbl>
    <w:p w14:paraId="55E54AC2">
      <w:r>
        <w:br w:type="page"/>
      </w:r>
    </w:p>
    <w:p w14:paraId="740887B4">
      <w:pPr>
        <w:pStyle w:val="76"/>
      </w:pPr>
    </w:p>
    <w:p w14:paraId="5871DF53">
      <w:pPr>
        <w:pStyle w:val="71"/>
      </w:pPr>
      <w:bookmarkStart w:id="31" w:name="_Toc20595"/>
      <w:bookmarkStart w:id="32" w:name="_Toc47976609"/>
      <w:r>
        <w:rPr>
          <w:rFonts w:hint="eastAsia"/>
        </w:rPr>
        <w:t>第三部分　合同主要条款</w:t>
      </w:r>
      <w:bookmarkEnd w:id="31"/>
      <w:bookmarkEnd w:id="32"/>
    </w:p>
    <w:p w14:paraId="23914DBE">
      <w:pPr>
        <w:pStyle w:val="72"/>
        <w:numPr>
          <w:ilvl w:val="0"/>
          <w:numId w:val="31"/>
        </w:numPr>
        <w:ind w:left="420"/>
      </w:pPr>
      <w:bookmarkStart w:id="33" w:name="_Toc47976610"/>
      <w:r>
        <w:rPr>
          <w:rFonts w:hint="eastAsia"/>
          <w:lang w:val="en-US" w:eastAsia="zh-CN"/>
        </w:rPr>
        <w:t>标的、数量、</w:t>
      </w:r>
      <w:r>
        <w:rPr>
          <w:rFonts w:hint="eastAsia"/>
        </w:rPr>
        <w:t>交货期</w:t>
      </w:r>
      <w:bookmarkEnd w:id="33"/>
    </w:p>
    <w:p w14:paraId="18603CA8">
      <w:pPr>
        <w:pStyle w:val="72"/>
      </w:pPr>
      <w:bookmarkStart w:id="34" w:name="_Toc47976611"/>
      <w:r>
        <w:rPr>
          <w:rFonts w:hint="eastAsia"/>
        </w:rPr>
        <w:t>交货地点</w:t>
      </w:r>
      <w:bookmarkEnd w:id="34"/>
    </w:p>
    <w:p w14:paraId="3F03A936">
      <w:pPr>
        <w:pStyle w:val="72"/>
      </w:pPr>
      <w:bookmarkStart w:id="35" w:name="_Toc47976612"/>
      <w:r>
        <w:rPr>
          <w:rFonts w:hint="eastAsia"/>
          <w:lang w:val="en-US" w:eastAsia="zh-CN"/>
        </w:rPr>
        <w:t>价款及</w:t>
      </w:r>
      <w:r>
        <w:rPr>
          <w:rFonts w:hint="eastAsia"/>
        </w:rPr>
        <w:t>付款方式</w:t>
      </w:r>
      <w:bookmarkEnd w:id="35"/>
    </w:p>
    <w:p w14:paraId="0A7F4E98">
      <w:pPr>
        <w:pStyle w:val="72"/>
      </w:pPr>
      <w:bookmarkStart w:id="36" w:name="_Toc47976613"/>
      <w:r>
        <w:rPr>
          <w:rFonts w:hint="eastAsia"/>
          <w:lang w:val="en-US" w:eastAsia="zh-CN"/>
        </w:rPr>
        <w:t>质量要求、</w:t>
      </w:r>
      <w:r>
        <w:rPr>
          <w:rFonts w:hint="eastAsia"/>
        </w:rPr>
        <w:t>保修期及售后服务</w:t>
      </w:r>
      <w:bookmarkEnd w:id="36"/>
    </w:p>
    <w:p w14:paraId="50F6C5C1">
      <w:pPr>
        <w:pStyle w:val="72"/>
      </w:pPr>
      <w:bookmarkStart w:id="37" w:name="_Toc47976614"/>
      <w:r>
        <w:rPr>
          <w:rFonts w:hint="eastAsia"/>
        </w:rPr>
        <w:t>安装、调试及验收要求</w:t>
      </w:r>
      <w:bookmarkEnd w:id="37"/>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79A7EC9B">
      <w:pPr>
        <w:pStyle w:val="76"/>
      </w:pPr>
    </w:p>
    <w:p w14:paraId="0EB8BBEB">
      <w:pPr>
        <w:pStyle w:val="71"/>
        <w:rPr>
          <w:rFonts w:hint="default" w:eastAsia="黑体"/>
          <w:lang w:val="en-US" w:eastAsia="zh-CN"/>
        </w:rPr>
      </w:pPr>
      <w:bookmarkStart w:id="38" w:name="_Toc47976615"/>
      <w:bookmarkStart w:id="39" w:name="_Toc5925"/>
      <w:r>
        <w:rPr>
          <w:rFonts w:hint="eastAsia"/>
        </w:rPr>
        <w:t>第四部分　</w:t>
      </w:r>
      <w:bookmarkEnd w:id="38"/>
      <w:r>
        <w:rPr>
          <w:rFonts w:hint="eastAsia"/>
          <w:lang w:val="en-US" w:eastAsia="zh-CN"/>
        </w:rPr>
        <w:t>投标文件附件</w:t>
      </w:r>
      <w:bookmarkEnd w:id="39"/>
    </w:p>
    <w:p w14:paraId="600DE1DD">
      <w:pPr>
        <w:pStyle w:val="71"/>
        <w:jc w:val="left"/>
        <w:rPr>
          <w:rFonts w:hint="eastAsia" w:ascii="宋体" w:hAnsi="宋体" w:eastAsia="宋体" w:cs="宋体"/>
          <w:sz w:val="32"/>
          <w:szCs w:val="32"/>
          <w:highlight w:val="yellow"/>
          <w:lang w:eastAsia="zh-CN"/>
        </w:rPr>
      </w:pPr>
      <w:bookmarkStart w:id="40" w:name="_Toc47976616"/>
      <w:bookmarkStart w:id="41" w:name="_Toc4225"/>
      <w:r>
        <w:rPr>
          <w:rFonts w:hint="eastAsia" w:ascii="宋体" w:hAnsi="宋体" w:eastAsia="宋体" w:cs="宋体"/>
          <w:sz w:val="32"/>
          <w:szCs w:val="32"/>
          <w:highlight w:val="yellow"/>
        </w:rPr>
        <w:t>附件</w:t>
      </w:r>
      <w:bookmarkEnd w:id="40"/>
      <w:bookmarkEnd w:id="41"/>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2" w:name="_Toc47976618"/>
      <w:bookmarkStart w:id="43" w:name="_Toc29366865"/>
      <w:bookmarkStart w:id="44" w:name="_Toc29366869"/>
      <w:r>
        <w:rPr>
          <w:rFonts w:hint="eastAsia" w:ascii="宋体" w:hAnsi="宋体" w:eastAsia="宋体" w:cs="宋体"/>
          <w:sz w:val="32"/>
          <w:szCs w:val="32"/>
          <w:highlight w:val="yellow"/>
          <w:lang w:val="en-US" w:eastAsia="zh-CN"/>
        </w:rPr>
        <w:t>附件2</w:t>
      </w:r>
    </w:p>
    <w:bookmarkEnd w:id="42"/>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3"/>
    <w:bookmarkEnd w:id="44"/>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3E479304">
      <w:pPr>
        <w:pStyle w:val="14"/>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1343B1A6">
      <w:pPr>
        <w:pStyle w:val="14"/>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4"/>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56FE2A54">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0463576">
      <w:pPr>
        <w:pStyle w:val="14"/>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货物 / 器具包装”，业务主管部门为“智能物流中心”。</w:t>
      </w:r>
      <w:r>
        <w:rPr>
          <w:rFonts w:hint="eastAsia" w:ascii="宋体" w:hAnsi="宋体" w:eastAsia="宋体" w:cs="宋体"/>
          <w:b/>
          <w:bCs/>
          <w:color w:val="000000"/>
          <w:sz w:val="24"/>
          <w:szCs w:val="24"/>
        </w:rPr>
        <w:br w:type="page"/>
      </w:r>
    </w:p>
    <w:p w14:paraId="3AC93FE3">
      <w:pPr>
        <w:pStyle w:val="14"/>
        <w:outlineLvl w:val="2"/>
        <w:rPr>
          <w:rFonts w:hAnsi="宋体" w:eastAsia="宋体" w:cs="Times New Roman"/>
          <w:b/>
          <w:color w:val="000000"/>
          <w:sz w:val="24"/>
          <w:szCs w:val="24"/>
        </w:rPr>
      </w:pP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2C4E4B8B">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0154E251">
      <w:pPr>
        <w:pStyle w:val="14"/>
        <w:rPr>
          <w:rFonts w:hAnsi="宋体" w:eastAsia="宋体" w:cs="Times New Roman"/>
          <w:b/>
          <w:color w:val="000000"/>
          <w:sz w:val="24"/>
          <w:szCs w:val="24"/>
        </w:rPr>
      </w:pPr>
    </w:p>
    <w:p w14:paraId="632B92FB">
      <w:pPr>
        <w:pStyle w:val="11"/>
      </w:pPr>
    </w:p>
    <w:p w14:paraId="167208B8">
      <w:pPr>
        <w:pStyle w:val="76"/>
        <w:rPr>
          <w:rFonts w:hint="default" w:ascii="宋体" w:hAnsi="宋体"/>
          <w:b/>
          <w:bCs/>
          <w:sz w:val="24"/>
          <w:szCs w:val="24"/>
          <w:lang w:val="en-US" w:eastAsia="zh-CN"/>
        </w:rPr>
      </w:pPr>
    </w:p>
    <w:p w14:paraId="03D9231D">
      <w:pPr>
        <w:pStyle w:val="76"/>
        <w:rPr>
          <w:rFonts w:hint="default" w:ascii="宋体" w:hAnsi="宋体" w:eastAsia="宋体" w:cs="宋体"/>
          <w:b/>
          <w:bCs/>
          <w:kern w:val="2"/>
          <w:sz w:val="32"/>
          <w:szCs w:val="32"/>
          <w:lang w:val="en-US" w:eastAsia="zh-CN" w:bidi="ar-SA"/>
        </w:rPr>
      </w:pPr>
    </w:p>
    <w:p w14:paraId="4CF99216">
      <w:pPr>
        <w:pStyle w:val="76"/>
        <w:rPr>
          <w:rFonts w:hint="default" w:hAnsi="宋体"/>
          <w:sz w:val="24"/>
          <w:lang w:val="en-US"/>
        </w:rPr>
      </w:pPr>
    </w:p>
    <w:p w14:paraId="04906663">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A2E2F728"/>
    <w:multiLevelType w:val="singleLevel"/>
    <w:tmpl w:val="A2E2F728"/>
    <w:lvl w:ilvl="0" w:tentative="0">
      <w:start w:val="1"/>
      <w:numFmt w:val="decimal"/>
      <w:suff w:val="nothing"/>
      <w:lvlText w:val="（%1）"/>
      <w:lvlJc w:val="left"/>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674AE779"/>
    <w:multiLevelType w:val="singleLevel"/>
    <w:tmpl w:val="674AE779"/>
    <w:lvl w:ilvl="0" w:tentative="0">
      <w:start w:val="2"/>
      <w:numFmt w:val="chineseCounting"/>
      <w:suff w:val="nothing"/>
      <w:lvlText w:val="%1、"/>
      <w:lvlJc w:val="left"/>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2"/>
  </w:num>
  <w:num w:numId="6">
    <w:abstractNumId w:val="14"/>
  </w:num>
  <w:num w:numId="7">
    <w:abstractNumId w:val="15"/>
  </w:num>
  <w:num w:numId="8">
    <w:abstractNumId w:val="22"/>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8"/>
  </w:num>
  <w:num w:numId="15">
    <w:abstractNumId w:val="6"/>
  </w:num>
  <w:num w:numId="16">
    <w:abstractNumId w:val="0"/>
  </w:num>
  <w:num w:numId="17">
    <w:abstractNumId w:val="3"/>
  </w:num>
  <w:num w:numId="18">
    <w:abstractNumId w:val="24"/>
  </w:num>
  <w:num w:numId="19">
    <w:abstractNumId w:val="27"/>
  </w:num>
  <w:num w:numId="20">
    <w:abstractNumId w:val="16"/>
  </w:num>
  <w:num w:numId="21">
    <w:abstractNumId w:val="10"/>
  </w:num>
  <w:num w:numId="22">
    <w:abstractNumId w:val="9"/>
  </w:num>
  <w:num w:numId="23">
    <w:abstractNumId w:val="4"/>
  </w:num>
  <w:num w:numId="24">
    <w:abstractNumId w:val="1"/>
  </w:num>
  <w:num w:numId="25">
    <w:abstractNumId w:val="7"/>
  </w:num>
  <w:num w:numId="26">
    <w:abstractNumId w:val="11"/>
  </w:num>
  <w:num w:numId="27">
    <w:abstractNumId w:val="19"/>
  </w:num>
  <w:num w:numId="28">
    <w:abstractNumId w:val="17"/>
  </w:num>
  <w:num w:numId="29">
    <w:abstractNumId w:val="26"/>
  </w:num>
  <w:num w:numId="30">
    <w:abstractNumId w:val="5"/>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ADF0F48"/>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274B10"/>
    <w:rsid w:val="52B9239A"/>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DFC64FD"/>
    <w:rsid w:val="6FC523EB"/>
    <w:rsid w:val="72895F2E"/>
    <w:rsid w:val="72C02EBE"/>
    <w:rsid w:val="72C507AD"/>
    <w:rsid w:val="72D028D8"/>
    <w:rsid w:val="745D47C3"/>
    <w:rsid w:val="76AC3757"/>
    <w:rsid w:val="7CB93F8E"/>
    <w:rsid w:val="7CF66B46"/>
    <w:rsid w:val="7D0369A7"/>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25</Pages>
  <Words>7534</Words>
  <Characters>7825</Characters>
  <Lines>127</Lines>
  <Paragraphs>35</Paragraphs>
  <TotalTime>19</TotalTime>
  <ScaleCrop>false</ScaleCrop>
  <LinksUpToDate>false</LinksUpToDate>
  <CharactersWithSpaces>8597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2025-10-16T07:34:55Z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A5AC8B48BBD74DC795D6CEF2D0B35BD5_13</vt:lpwstr>
  </property>
  <property fmtid="{D5CDD505-2E9C-101B-9397-08002B2CF9AE}" pid="4" name="KSOTemplateDocerSaveRecord">
    <vt:lpwstr>eyJoZGlkIjoiNGVmYjYwMTVkYTcwNzlmYzkyYzZmMzIwZTI3ZGZlNjgiLCJ1c2VySWQiOiIxMDYzNzE1ODkzIn0=</vt:lpwstr>
  </property>
</Properties>
</file>