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DD29F">
      <w:pPr>
        <w:jc w:val="center"/>
        <w:rPr>
          <w:rFonts w:ascii="宋体" w:hAnsi="宋体"/>
          <w:sz w:val="30"/>
          <w:szCs w:val="30"/>
        </w:rPr>
      </w:pPr>
    </w:p>
    <w:p w14:paraId="6F722A89">
      <w:pPr>
        <w:jc w:val="center"/>
        <w:rPr>
          <w:rFonts w:ascii="宋体" w:hAnsi="宋体"/>
          <w:sz w:val="30"/>
          <w:szCs w:val="30"/>
        </w:rPr>
      </w:pPr>
    </w:p>
    <w:p w14:paraId="7E043B3C">
      <w:pPr>
        <w:jc w:val="center"/>
        <w:rPr>
          <w:sz w:val="28"/>
          <w:szCs w:val="28"/>
        </w:rPr>
      </w:pPr>
      <w:r>
        <w:rPr>
          <w:rFonts w:hint="eastAsia" w:ascii="宋体" w:hAnsi="宋体"/>
          <w:sz w:val="48"/>
          <w:szCs w:val="48"/>
        </w:rPr>
        <w:t>中国重汽集团</w:t>
      </w:r>
      <w:r>
        <w:rPr>
          <w:rFonts w:hint="eastAsia" w:ascii="宋体" w:hAnsi="宋体"/>
          <w:sz w:val="48"/>
          <w:szCs w:val="48"/>
          <w:lang w:val="en-US" w:eastAsia="zh-CN"/>
        </w:rPr>
        <w:t>塑料橡胶件、废线皮、塑料边角料</w:t>
      </w:r>
      <w:r>
        <w:rPr>
          <w:rFonts w:hint="eastAsia" w:ascii="宋体" w:hAnsi="宋体"/>
          <w:sz w:val="48"/>
          <w:szCs w:val="48"/>
        </w:rPr>
        <w:t>竞价处置项目</w:t>
      </w:r>
    </w:p>
    <w:p w14:paraId="4C2B67A5">
      <w:pPr>
        <w:jc w:val="right"/>
        <w:rPr>
          <w:sz w:val="28"/>
          <w:szCs w:val="28"/>
        </w:rPr>
      </w:pPr>
    </w:p>
    <w:p w14:paraId="5C24866F">
      <w:pPr>
        <w:ind w:right="280"/>
        <w:jc w:val="right"/>
        <w:rPr>
          <w:sz w:val="28"/>
          <w:szCs w:val="28"/>
        </w:rPr>
      </w:pPr>
      <w:r>
        <w:rPr>
          <w:sz w:val="28"/>
          <w:szCs w:val="28"/>
        </w:rPr>
        <w:t xml:space="preserve"> </w:t>
      </w:r>
    </w:p>
    <w:p w14:paraId="2F36147D">
      <w:pPr>
        <w:jc w:val="center"/>
        <w:rPr>
          <w:rFonts w:ascii="黑体" w:hAnsi="宋体" w:eastAsia="黑体"/>
          <w:sz w:val="84"/>
          <w:szCs w:val="84"/>
        </w:rPr>
      </w:pPr>
      <w:r>
        <w:rPr>
          <w:rFonts w:hint="eastAsia" w:ascii="黑体" w:hAnsi="宋体" w:eastAsia="黑体"/>
          <w:sz w:val="84"/>
          <w:szCs w:val="84"/>
        </w:rPr>
        <w:t>招</w:t>
      </w:r>
    </w:p>
    <w:p w14:paraId="512EE407">
      <w:pPr>
        <w:jc w:val="center"/>
        <w:rPr>
          <w:rFonts w:ascii="黑体" w:hAnsi="宋体" w:eastAsia="黑体"/>
          <w:sz w:val="84"/>
          <w:szCs w:val="84"/>
        </w:rPr>
      </w:pPr>
    </w:p>
    <w:p w14:paraId="1C85E0A6">
      <w:pPr>
        <w:jc w:val="center"/>
        <w:rPr>
          <w:rFonts w:ascii="黑体" w:hAnsi="宋体" w:eastAsia="黑体"/>
          <w:sz w:val="84"/>
          <w:szCs w:val="84"/>
        </w:rPr>
      </w:pPr>
      <w:r>
        <w:rPr>
          <w:rFonts w:hint="eastAsia" w:ascii="黑体" w:hAnsi="宋体" w:eastAsia="黑体"/>
          <w:sz w:val="84"/>
          <w:szCs w:val="84"/>
        </w:rPr>
        <w:t>标</w:t>
      </w:r>
    </w:p>
    <w:p w14:paraId="408637CA">
      <w:pPr>
        <w:jc w:val="center"/>
        <w:rPr>
          <w:rFonts w:ascii="黑体" w:hAnsi="宋体" w:eastAsia="黑体"/>
          <w:sz w:val="84"/>
          <w:szCs w:val="84"/>
        </w:rPr>
      </w:pPr>
    </w:p>
    <w:p w14:paraId="2B886051">
      <w:pPr>
        <w:jc w:val="center"/>
        <w:rPr>
          <w:rFonts w:ascii="宋体" w:hAnsi="宋体"/>
          <w:sz w:val="72"/>
          <w:szCs w:val="72"/>
        </w:rPr>
      </w:pPr>
      <w:r>
        <w:rPr>
          <w:rFonts w:hint="eastAsia" w:ascii="黑体" w:hAnsi="宋体" w:eastAsia="黑体"/>
          <w:sz w:val="84"/>
          <w:szCs w:val="84"/>
        </w:rPr>
        <w:t>书</w:t>
      </w:r>
    </w:p>
    <w:p w14:paraId="0D966939">
      <w:pPr>
        <w:jc w:val="center"/>
        <w:rPr>
          <w:rFonts w:ascii="宋体" w:hAnsi="宋体"/>
          <w:sz w:val="48"/>
          <w:szCs w:val="48"/>
        </w:rPr>
      </w:pPr>
    </w:p>
    <w:p w14:paraId="31FF6C51">
      <w:pPr>
        <w:jc w:val="center"/>
        <w:rPr>
          <w:rFonts w:ascii="宋体" w:hAnsi="宋体"/>
          <w:sz w:val="28"/>
          <w:szCs w:val="28"/>
        </w:rPr>
      </w:pPr>
    </w:p>
    <w:p w14:paraId="43B1A0B5">
      <w:pPr>
        <w:jc w:val="center"/>
        <w:rPr>
          <w:rFonts w:ascii="宋体" w:hAnsi="宋体"/>
          <w:sz w:val="28"/>
          <w:szCs w:val="28"/>
        </w:rPr>
      </w:pPr>
      <w:r>
        <w:rPr>
          <w:rFonts w:hint="eastAsia" w:ascii="宋体" w:hAnsi="宋体"/>
          <w:sz w:val="28"/>
          <w:szCs w:val="28"/>
        </w:rPr>
        <w:t>招 标 人：中国重型汽车集团有限公司</w:t>
      </w:r>
    </w:p>
    <w:p w14:paraId="357FDF45">
      <w:pPr>
        <w:jc w:val="center"/>
        <w:rPr>
          <w:rFonts w:ascii="宋体" w:hAnsi="宋体"/>
          <w:sz w:val="28"/>
          <w:szCs w:val="28"/>
        </w:rPr>
      </w:pPr>
      <w:r>
        <w:rPr>
          <w:rFonts w:hint="eastAsia" w:ascii="宋体" w:hAnsi="宋体"/>
          <w:sz w:val="28"/>
          <w:szCs w:val="28"/>
        </w:rPr>
        <w:t>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7AE56B7A">
      <w:pPr>
        <w:spacing w:line="480" w:lineRule="auto"/>
        <w:jc w:val="center"/>
        <w:rPr>
          <w:rFonts w:ascii="宋体" w:hAnsi="宋体"/>
          <w:b/>
          <w:bCs/>
          <w:sz w:val="48"/>
          <w:szCs w:val="48"/>
        </w:rPr>
      </w:pPr>
    </w:p>
    <w:p w14:paraId="27CFADF1">
      <w:pPr>
        <w:spacing w:line="480" w:lineRule="auto"/>
        <w:jc w:val="center"/>
        <w:rPr>
          <w:rFonts w:ascii="宋体" w:hAnsi="宋体"/>
          <w:b/>
          <w:bCs/>
          <w:sz w:val="48"/>
          <w:szCs w:val="48"/>
        </w:rPr>
      </w:pPr>
    </w:p>
    <w:p w14:paraId="7B42E704">
      <w:pPr>
        <w:pStyle w:val="6"/>
        <w:spacing w:line="360" w:lineRule="auto"/>
        <w:jc w:val="center"/>
        <w:rPr>
          <w:rFonts w:ascii="黑体" w:eastAsia="黑体"/>
          <w:b/>
          <w:bCs/>
          <w:sz w:val="36"/>
          <w:szCs w:val="36"/>
        </w:rPr>
      </w:pPr>
      <w:r>
        <w:rPr>
          <w:rFonts w:hint="eastAsia" w:ascii="黑体" w:eastAsia="黑体"/>
          <w:b/>
          <w:bCs/>
          <w:sz w:val="36"/>
          <w:szCs w:val="36"/>
        </w:rPr>
        <w:t>第一章 招标文件</w:t>
      </w:r>
    </w:p>
    <w:p w14:paraId="45F94BAB">
      <w:pPr>
        <w:pStyle w:val="6"/>
        <w:spacing w:line="360" w:lineRule="auto"/>
        <w:rPr>
          <w:rFonts w:ascii="黑体" w:eastAsia="黑体"/>
          <w:b/>
          <w:bCs/>
          <w:sz w:val="28"/>
        </w:rPr>
      </w:pPr>
      <w:r>
        <w:rPr>
          <w:rFonts w:hint="eastAsia" w:ascii="黑体" w:eastAsia="黑体"/>
          <w:b/>
          <w:bCs/>
          <w:sz w:val="28"/>
        </w:rPr>
        <w:t>一、项目名称</w:t>
      </w:r>
    </w:p>
    <w:p w14:paraId="7EACD73C">
      <w:pPr>
        <w:pStyle w:val="6"/>
        <w:spacing w:line="360" w:lineRule="auto"/>
        <w:ind w:left="420"/>
        <w:rPr>
          <w:rFonts w:hint="eastAsia"/>
        </w:rPr>
      </w:pPr>
      <w:bookmarkStart w:id="0" w:name="OLE_LINK1"/>
      <w:r>
        <w:rPr>
          <w:rFonts w:hint="eastAsia"/>
        </w:rPr>
        <w:t>项目名称：中国重汽集团塑料橡胶件、废线皮、塑料边角料竞价处置项目</w:t>
      </w:r>
    </w:p>
    <w:bookmarkEnd w:id="0"/>
    <w:p w14:paraId="652572DE">
      <w:pPr>
        <w:pStyle w:val="6"/>
        <w:spacing w:line="360" w:lineRule="auto"/>
        <w:rPr>
          <w:rFonts w:ascii="黑体" w:eastAsia="黑体"/>
          <w:b/>
          <w:bCs/>
          <w:sz w:val="28"/>
        </w:rPr>
      </w:pPr>
      <w:r>
        <w:rPr>
          <w:rFonts w:hint="eastAsia" w:ascii="黑体" w:eastAsia="黑体"/>
          <w:b/>
          <w:bCs/>
          <w:sz w:val="28"/>
        </w:rPr>
        <w:t>二、招标内容及形式</w:t>
      </w:r>
    </w:p>
    <w:p w14:paraId="3DB0DE11">
      <w:pPr>
        <w:pStyle w:val="6"/>
        <w:spacing w:line="360" w:lineRule="auto"/>
        <w:ind w:firstLine="420" w:firstLineChars="200"/>
        <w:rPr>
          <w:rFonts w:hint="eastAsia" w:hAnsi="Courier New" w:eastAsia="宋体" w:cs="Times New Roman"/>
          <w:lang w:val="en-US" w:eastAsia="zh-CN"/>
        </w:rPr>
      </w:pPr>
      <w:r>
        <w:rPr>
          <w:rFonts w:hint="eastAsia"/>
        </w:rPr>
        <w:t>招标范围：中国重汽集团</w:t>
      </w:r>
      <w:r>
        <w:rPr>
          <w:rFonts w:hint="eastAsia"/>
          <w:lang w:val="en-US" w:eastAsia="zh-CN"/>
        </w:rPr>
        <w:t>多家单位</w:t>
      </w:r>
      <w:r>
        <w:rPr>
          <w:rFonts w:hint="eastAsia"/>
        </w:rPr>
        <w:t>塑料橡胶件、废线皮、塑料边角料</w:t>
      </w:r>
      <w:r>
        <w:rPr>
          <w:rFonts w:hint="eastAsia" w:hAnsi="Courier New" w:eastAsia="宋体" w:cs="Times New Roman"/>
          <w:lang w:val="en-US" w:eastAsia="zh-CN"/>
        </w:rPr>
        <w:t>。</w:t>
      </w:r>
    </w:p>
    <w:p w14:paraId="473699C3">
      <w:pPr>
        <w:pStyle w:val="6"/>
        <w:spacing w:line="360" w:lineRule="auto"/>
        <w:ind w:firstLine="420" w:firstLineChars="200"/>
      </w:pPr>
      <w:r>
        <w:rPr>
          <w:rFonts w:hint="eastAsia"/>
        </w:rPr>
        <w:t>招标形式：山东重工集团·集采平台公开招标</w:t>
      </w:r>
      <w:bookmarkStart w:id="7" w:name="_GoBack"/>
      <w:bookmarkEnd w:id="7"/>
    </w:p>
    <w:p w14:paraId="31A06A57">
      <w:pPr>
        <w:pStyle w:val="6"/>
        <w:spacing w:line="360" w:lineRule="auto"/>
        <w:rPr>
          <w:rFonts w:ascii="黑体" w:eastAsia="黑体"/>
          <w:b/>
          <w:bCs/>
          <w:sz w:val="28"/>
        </w:rPr>
      </w:pPr>
      <w:r>
        <w:rPr>
          <w:rFonts w:hint="eastAsia" w:ascii="黑体" w:eastAsia="黑体"/>
          <w:b/>
          <w:bCs/>
          <w:sz w:val="28"/>
        </w:rPr>
        <w:t>三、交货及付款</w:t>
      </w:r>
    </w:p>
    <w:p w14:paraId="3BE4B39A">
      <w:pPr>
        <w:pStyle w:val="6"/>
        <w:spacing w:line="360" w:lineRule="auto"/>
        <w:ind w:firstLine="420" w:firstLineChars="200"/>
      </w:pPr>
      <w:r>
        <w:rPr>
          <w:rFonts w:hint="eastAsia"/>
        </w:rPr>
        <w:t>1、交货方式：中标方自提</w:t>
      </w:r>
    </w:p>
    <w:p w14:paraId="070D80DD">
      <w:pPr>
        <w:pStyle w:val="6"/>
        <w:spacing w:line="360" w:lineRule="auto"/>
        <w:ind w:firstLine="420" w:firstLineChars="200"/>
      </w:pPr>
      <w:r>
        <w:rPr>
          <w:rFonts w:hint="eastAsia"/>
        </w:rPr>
        <w:t>2、付款方式：需中标方预付货款</w:t>
      </w:r>
    </w:p>
    <w:p w14:paraId="0358F660">
      <w:pPr>
        <w:pStyle w:val="6"/>
        <w:spacing w:line="360" w:lineRule="auto"/>
        <w:ind w:firstLine="420" w:firstLineChars="200"/>
      </w:pPr>
      <w:r>
        <w:rPr>
          <w:rFonts w:hint="eastAsia"/>
        </w:rPr>
        <w:t>3、竞价时间：</w:t>
      </w:r>
      <w:r>
        <w:rPr>
          <w:rFonts w:hint="eastAsia"/>
          <w:color w:val="FF0000"/>
          <w:highlight w:val="none"/>
        </w:rPr>
        <w:t>202</w:t>
      </w:r>
      <w:r>
        <w:rPr>
          <w:rFonts w:hint="eastAsia"/>
          <w:color w:val="FF0000"/>
          <w:highlight w:val="none"/>
          <w:lang w:val="en-US" w:eastAsia="zh-CN"/>
        </w:rPr>
        <w:t>6</w:t>
      </w:r>
      <w:r>
        <w:rPr>
          <w:rFonts w:hint="eastAsia"/>
          <w:color w:val="FF0000"/>
          <w:highlight w:val="none"/>
        </w:rPr>
        <w:t>年</w:t>
      </w:r>
      <w:r>
        <w:rPr>
          <w:rFonts w:hint="eastAsia"/>
          <w:color w:val="FF0000"/>
          <w:highlight w:val="none"/>
          <w:lang w:val="en-US" w:eastAsia="zh-CN"/>
        </w:rPr>
        <w:t>8</w:t>
      </w:r>
      <w:r>
        <w:rPr>
          <w:rFonts w:hint="eastAsia"/>
          <w:color w:val="FF0000"/>
          <w:highlight w:val="none"/>
        </w:rPr>
        <w:t>月</w:t>
      </w:r>
      <w:r>
        <w:rPr>
          <w:rFonts w:hint="eastAsia"/>
          <w:color w:val="FF0000"/>
          <w:highlight w:val="none"/>
          <w:lang w:val="en-US" w:eastAsia="zh-CN"/>
        </w:rPr>
        <w:t>10</w:t>
      </w:r>
      <w:r>
        <w:rPr>
          <w:rFonts w:hint="eastAsia"/>
          <w:color w:val="FF0000"/>
          <w:highlight w:val="none"/>
        </w:rPr>
        <w:t>日</w:t>
      </w:r>
      <w:r>
        <w:rPr>
          <w:rFonts w:hint="eastAsia"/>
          <w:color w:val="FF0000"/>
          <w:highlight w:val="none"/>
          <w:lang w:val="en-US" w:eastAsia="zh-CN"/>
        </w:rPr>
        <w:t>14</w:t>
      </w:r>
      <w:r>
        <w:rPr>
          <w:rFonts w:hint="eastAsia"/>
          <w:color w:val="FF0000"/>
          <w:highlight w:val="none"/>
        </w:rPr>
        <w:t>点</w:t>
      </w:r>
      <w:r>
        <w:rPr>
          <w:rFonts w:hint="eastAsia"/>
          <w:color w:val="FF0000"/>
          <w:highlight w:val="none"/>
          <w:lang w:val="en-US" w:eastAsia="zh-CN"/>
        </w:rPr>
        <w:t>00</w:t>
      </w:r>
      <w:r>
        <w:rPr>
          <w:rFonts w:hint="eastAsia"/>
          <w:color w:val="FF0000"/>
          <w:highlight w:val="none"/>
        </w:rPr>
        <w:t>开始</w:t>
      </w:r>
    </w:p>
    <w:p w14:paraId="0FAACB0D">
      <w:pPr>
        <w:pStyle w:val="6"/>
        <w:spacing w:line="360" w:lineRule="auto"/>
        <w:rPr>
          <w:rFonts w:ascii="黑体" w:eastAsia="黑体"/>
          <w:b/>
          <w:bCs/>
          <w:sz w:val="28"/>
        </w:rPr>
      </w:pPr>
      <w:r>
        <w:rPr>
          <w:rFonts w:hint="eastAsia" w:ascii="黑体" w:eastAsia="黑体"/>
          <w:b/>
          <w:bCs/>
          <w:sz w:val="28"/>
        </w:rPr>
        <w:t>四、投标说明</w:t>
      </w:r>
    </w:p>
    <w:p w14:paraId="12A8E93E">
      <w:pPr>
        <w:pStyle w:val="6"/>
        <w:spacing w:line="360" w:lineRule="auto"/>
        <w:ind w:left="631" w:leftChars="200" w:hanging="211" w:hangingChars="100"/>
        <w:rPr>
          <w:b/>
        </w:rPr>
      </w:pPr>
      <w:r>
        <w:rPr>
          <w:rFonts w:hint="eastAsia"/>
          <w:b/>
        </w:rPr>
        <w:t>1、投标条件</w:t>
      </w:r>
    </w:p>
    <w:p w14:paraId="107DA8A3">
      <w:pPr>
        <w:pStyle w:val="6"/>
        <w:spacing w:line="360" w:lineRule="auto"/>
        <w:ind w:firstLine="413" w:firstLineChars="196"/>
        <w:rPr>
          <w:b/>
        </w:rPr>
      </w:pPr>
      <w:r>
        <w:rPr>
          <w:rFonts w:hint="eastAsia"/>
          <w:b/>
        </w:rPr>
        <w:t>所有投标方需满足以下条件，并经招标方审核通过后方可获得该项目的投标资格：</w:t>
      </w:r>
    </w:p>
    <w:p w14:paraId="4DA6BF7D">
      <w:pPr>
        <w:pStyle w:val="6"/>
        <w:spacing w:line="360" w:lineRule="auto"/>
        <w:ind w:firstLine="205" w:firstLineChars="98"/>
        <w:rPr>
          <w:b/>
        </w:rPr>
      </w:pPr>
      <w:r>
        <w:rPr>
          <w:rFonts w:hint="eastAsia"/>
          <w:szCs w:val="21"/>
        </w:rPr>
        <w:t>（1）投标方必须是在中华人民共和国境内注册的独立法人机构，具有独立承担民事责任能力，</w:t>
      </w:r>
      <w:r>
        <w:rPr>
          <w:rFonts w:hint="eastAsia"/>
          <w:color w:val="000000"/>
          <w:szCs w:val="21"/>
        </w:rPr>
        <w:t>注册资金不少于</w:t>
      </w:r>
      <w:r>
        <w:rPr>
          <w:rFonts w:hint="eastAsia"/>
          <w:b/>
          <w:color w:val="FF0000"/>
          <w:szCs w:val="21"/>
          <w:lang w:val="en-US" w:eastAsia="zh-CN"/>
        </w:rPr>
        <w:t>2</w:t>
      </w:r>
      <w:r>
        <w:rPr>
          <w:rFonts w:hint="eastAsia"/>
          <w:b/>
          <w:color w:val="FF0000"/>
          <w:szCs w:val="21"/>
          <w:lang w:val="en-US" w:eastAsia="zh-CN"/>
        </w:rPr>
        <w:t>00</w:t>
      </w:r>
      <w:r>
        <w:rPr>
          <w:rFonts w:hint="eastAsia"/>
          <w:color w:val="000000"/>
          <w:szCs w:val="21"/>
        </w:rPr>
        <w:t>万人民币</w:t>
      </w:r>
      <w:r>
        <w:rPr>
          <w:rFonts w:hint="eastAsia" w:ascii="宋体" w:hAnsi="Courier New" w:eastAsia="宋体" w:cs="Times New Roman"/>
          <w:b w:val="0"/>
          <w:bCs/>
          <w:strike w:val="0"/>
          <w:dstrike w:val="0"/>
          <w:highlight w:val="none"/>
        </w:rPr>
        <w:t>（或等值其他货币）</w:t>
      </w:r>
      <w:r>
        <w:rPr>
          <w:rFonts w:hint="eastAsia"/>
          <w:szCs w:val="21"/>
        </w:rPr>
        <w:t>；且经营范围满足招标方需求</w:t>
      </w:r>
      <w:r>
        <w:rPr>
          <w:rFonts w:hint="eastAsia"/>
          <w:szCs w:val="21"/>
          <w:lang w:eastAsia="zh-CN"/>
        </w:rPr>
        <w:t>，</w:t>
      </w:r>
      <w:r>
        <w:rPr>
          <w:rFonts w:hint="eastAsia"/>
          <w:szCs w:val="21"/>
          <w:lang w:val="en-US" w:eastAsia="zh-CN"/>
        </w:rPr>
        <w:t>具有废旧物资回收类资质，部分项目需具有特殊类回收资质，部分项目需具有环评手续等</w:t>
      </w:r>
      <w:r>
        <w:rPr>
          <w:rFonts w:hint="eastAsia"/>
          <w:szCs w:val="21"/>
        </w:rPr>
        <w:t>；</w:t>
      </w:r>
      <w:r>
        <w:rPr>
          <w:rFonts w:hint="eastAsia" w:hAnsi="宋体"/>
          <w:szCs w:val="21"/>
        </w:rPr>
        <w:t>并</w:t>
      </w:r>
      <w:r>
        <w:rPr>
          <w:rFonts w:hAnsi="宋体"/>
          <w:szCs w:val="21"/>
        </w:rPr>
        <w:t>在人员、设备、资金等方面具有承担本</w:t>
      </w:r>
      <w:r>
        <w:rPr>
          <w:rFonts w:hint="eastAsia" w:hAnsi="宋体"/>
          <w:szCs w:val="21"/>
        </w:rPr>
        <w:t>项目</w:t>
      </w:r>
      <w:r>
        <w:rPr>
          <w:rFonts w:hAnsi="宋体"/>
          <w:szCs w:val="21"/>
        </w:rPr>
        <w:t>的能力</w:t>
      </w:r>
      <w:r>
        <w:rPr>
          <w:rFonts w:hint="eastAsia" w:hAnsi="宋体"/>
          <w:szCs w:val="21"/>
        </w:rPr>
        <w:t>；</w:t>
      </w:r>
      <w:r>
        <w:rPr>
          <w:b/>
        </w:rPr>
        <w:t xml:space="preserve"> </w:t>
      </w:r>
    </w:p>
    <w:p w14:paraId="293BB97E">
      <w:pPr>
        <w:pStyle w:val="6"/>
        <w:spacing w:line="360" w:lineRule="auto"/>
        <w:ind w:firstLine="210" w:firstLineChars="100"/>
        <w:rPr>
          <w:rFonts w:hint="eastAsia" w:ascii="宋体" w:hAnsi="Courier New" w:eastAsia="宋体" w:cs="Times New Roman"/>
          <w:szCs w:val="21"/>
          <w:highlight w:val="none"/>
        </w:rPr>
      </w:pPr>
      <w:r>
        <w:rPr>
          <w:rFonts w:hint="eastAsia"/>
          <w:szCs w:val="21"/>
        </w:rPr>
        <w:t>（2）投标方应提供</w:t>
      </w:r>
      <w:r>
        <w:rPr>
          <w:rFonts w:hint="eastAsia"/>
          <w:szCs w:val="21"/>
          <w:highlight w:val="none"/>
        </w:rPr>
        <w:t>三证合一的营业执照副本原件</w:t>
      </w:r>
      <w:r>
        <w:rPr>
          <w:rFonts w:hint="eastAsia"/>
          <w:szCs w:val="21"/>
          <w:highlight w:val="none"/>
          <w:lang w:val="en-US" w:eastAsia="zh-CN"/>
        </w:rPr>
        <w:t>扫描件</w:t>
      </w:r>
      <w:r>
        <w:rPr>
          <w:rFonts w:hint="eastAsia"/>
          <w:szCs w:val="21"/>
          <w:highlight w:val="none"/>
        </w:rPr>
        <w:t>、法定代表人</w:t>
      </w:r>
      <w:r>
        <w:rPr>
          <w:rFonts w:hint="eastAsia"/>
          <w:szCs w:val="21"/>
          <w:highlight w:val="none"/>
          <w:lang w:val="en-US" w:eastAsia="zh-CN"/>
        </w:rPr>
        <w:t>授权委托书</w:t>
      </w:r>
      <w:r>
        <w:rPr>
          <w:rFonts w:hint="eastAsia" w:ascii="宋体" w:hAnsi="Courier New" w:eastAsia="宋体" w:cs="Times New Roman"/>
          <w:szCs w:val="21"/>
          <w:highlight w:val="none"/>
          <w:lang w:val="en-US" w:eastAsia="zh-CN"/>
        </w:rPr>
        <w:t>(见附件一)</w:t>
      </w:r>
      <w:r>
        <w:rPr>
          <w:rFonts w:hint="eastAsia" w:ascii="宋体" w:hAnsi="Courier New" w:eastAsia="宋体" w:cs="Times New Roman"/>
          <w:szCs w:val="21"/>
          <w:highlight w:val="none"/>
        </w:rPr>
        <w:t>；</w:t>
      </w:r>
    </w:p>
    <w:p w14:paraId="7841818D">
      <w:pPr>
        <w:pStyle w:val="6"/>
        <w:spacing w:line="360" w:lineRule="auto"/>
        <w:ind w:firstLine="205" w:firstLineChars="98"/>
        <w:rPr>
          <w:rFonts w:hint="eastAsia"/>
          <w:szCs w:val="21"/>
          <w:highlight w:val="none"/>
        </w:rPr>
      </w:pPr>
      <w:r>
        <w:rPr>
          <w:rFonts w:hint="eastAsia" w:hAnsi="宋体"/>
          <w:highlight w:val="none"/>
        </w:rPr>
        <w:t>（3）</w:t>
      </w: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r>
        <w:rPr>
          <w:rFonts w:hint="eastAsia"/>
          <w:b w:val="0"/>
          <w:bCs/>
          <w:strike w:val="0"/>
          <w:dstrike w:val="0"/>
          <w:highlight w:val="none"/>
          <w:lang w:eastAsia="zh-CN"/>
        </w:rPr>
        <w:t>。</w:t>
      </w:r>
      <w:r>
        <w:rPr>
          <w:rFonts w:hint="eastAsia"/>
          <w:b w:val="0"/>
          <w:bCs/>
          <w:strike w:val="0"/>
          <w:dstrike w:val="0"/>
          <w:highlight w:val="none"/>
        </w:rPr>
        <w:t>投标人</w:t>
      </w:r>
      <w:r>
        <w:rPr>
          <w:rFonts w:hint="eastAsia"/>
          <w:szCs w:val="22"/>
          <w:highlight w:val="none"/>
        </w:rPr>
        <w:t>直接或间接股东、法定代表人、董事、监事、高管非重汽员工及其亲属等。</w:t>
      </w:r>
      <w:r>
        <w:rPr>
          <w:rFonts w:hint="eastAsia"/>
          <w:szCs w:val="21"/>
          <w:highlight w:val="none"/>
        </w:rPr>
        <w:t>投标方在以往的招标活动中没有违法、违规、违纪和违约行为</w:t>
      </w:r>
      <w:r>
        <w:rPr>
          <w:rFonts w:hint="eastAsia"/>
          <w:szCs w:val="21"/>
          <w:highlight w:val="none"/>
          <w:lang w:eastAsia="zh-CN"/>
        </w:rPr>
        <w:t>，</w:t>
      </w:r>
      <w:r>
        <w:rPr>
          <w:rFonts w:hint="eastAsia"/>
          <w:szCs w:val="21"/>
          <w:highlight w:val="none"/>
          <w:lang w:val="en-US" w:eastAsia="zh-CN"/>
        </w:rPr>
        <w:t>未被列入重汽黑名单</w:t>
      </w:r>
      <w:r>
        <w:rPr>
          <w:rFonts w:hint="eastAsia"/>
          <w:szCs w:val="21"/>
          <w:highlight w:val="none"/>
        </w:rPr>
        <w:t>。</w:t>
      </w:r>
      <w:r>
        <w:rPr>
          <w:rFonts w:hint="eastAsia"/>
          <w:szCs w:val="22"/>
          <w:highlight w:val="none"/>
          <w:lang w:eastAsia="zh-CN"/>
        </w:rPr>
        <w:t>（</w:t>
      </w:r>
      <w:r>
        <w:rPr>
          <w:rFonts w:hint="eastAsia"/>
          <w:b/>
          <w:bCs/>
          <w:szCs w:val="21"/>
          <w:highlight w:val="none"/>
          <w:lang w:val="en-US" w:eastAsia="zh-CN"/>
        </w:rPr>
        <w:t>格式投标方自行拟定）</w:t>
      </w:r>
    </w:p>
    <w:p w14:paraId="647D7190">
      <w:pPr>
        <w:pStyle w:val="6"/>
        <w:spacing w:line="360" w:lineRule="auto"/>
        <w:ind w:firstLine="205" w:firstLineChars="98"/>
        <w:rPr>
          <w:rFonts w:hint="eastAsia" w:hAnsi="宋体"/>
          <w:highlight w:val="none"/>
        </w:rPr>
      </w:pPr>
      <w:r>
        <w:rPr>
          <w:rFonts w:hint="eastAsia"/>
          <w:szCs w:val="21"/>
          <w:highlight w:val="none"/>
        </w:rPr>
        <w:t>（4）投标方同意随时接受招标方现场监督标的物的处置过程。</w:t>
      </w:r>
    </w:p>
    <w:p w14:paraId="209E2CAD">
      <w:pPr>
        <w:pStyle w:val="6"/>
        <w:spacing w:line="360" w:lineRule="auto"/>
        <w:ind w:firstLine="205" w:firstLineChars="98"/>
        <w:rPr>
          <w:rFonts w:hint="eastAsia" w:hAnsi="宋体" w:eastAsia="宋体"/>
          <w:strike w:val="0"/>
          <w:lang w:eastAsia="zh-CN"/>
        </w:rPr>
      </w:pPr>
      <w:r>
        <w:rPr>
          <w:rFonts w:hint="eastAsia" w:hAnsi="宋体"/>
          <w:highlight w:val="none"/>
        </w:rPr>
        <w:t>（5）</w:t>
      </w:r>
      <w:r>
        <w:rPr>
          <w:rFonts w:hint="eastAsia" w:hAnsi="宋体"/>
          <w:strike w:val="0"/>
          <w:dstrike w:val="0"/>
          <w:highlight w:val="none"/>
        </w:rPr>
        <w:t>投标方应在信用中国（https://www.creditchina.go</w:t>
      </w:r>
      <w:r>
        <w:rPr>
          <w:rFonts w:hint="eastAsia" w:hAnsi="宋体"/>
          <w:strike w:val="0"/>
          <w:dstrike w:val="0"/>
        </w:rPr>
        <w:t>v.cn）中查询不存在不良记录；</w:t>
      </w:r>
    </w:p>
    <w:p w14:paraId="3F31B8D8">
      <w:pPr>
        <w:pStyle w:val="6"/>
        <w:spacing w:line="360" w:lineRule="auto"/>
        <w:ind w:firstLine="205" w:firstLineChars="98"/>
        <w:rPr>
          <w:rFonts w:hint="eastAsia" w:hAnsi="宋体"/>
        </w:rPr>
      </w:pPr>
      <w:r>
        <w:rPr>
          <w:rFonts w:hint="eastAsia" w:hAnsi="宋体"/>
        </w:rPr>
        <w:t>（6）成立时间要求，</w:t>
      </w:r>
      <w:r>
        <w:rPr>
          <w:rFonts w:hint="eastAsia" w:hAnsi="宋体"/>
          <w:highlight w:val="none"/>
        </w:rPr>
        <w:t>成立一年以上，计</w:t>
      </w:r>
      <w:r>
        <w:rPr>
          <w:rFonts w:hint="eastAsia" w:hAnsi="宋体"/>
        </w:rPr>
        <w:t>算至开标日。</w:t>
      </w:r>
      <w:r>
        <w:rPr>
          <w:rFonts w:hint="eastAsia" w:hAnsi="宋体"/>
        </w:rPr>
        <w:br w:type="textWrapping"/>
      </w:r>
      <w:r>
        <w:rPr>
          <w:rFonts w:hint="eastAsia" w:hAnsi="宋体"/>
        </w:rPr>
        <w:t> （7）投标人</w:t>
      </w:r>
      <w:r>
        <w:rPr>
          <w:rFonts w:hint="eastAsia" w:ascii="宋体" w:hAnsi="宋体" w:eastAsia="宋体" w:cs="Times New Roman"/>
          <w:lang w:val="en-US" w:eastAsia="zh-CN"/>
        </w:rPr>
        <w:t>应仔细阅读并理解竞价文件的全部内容，</w:t>
      </w:r>
      <w:r>
        <w:rPr>
          <w:rFonts w:hint="eastAsia" w:hAnsi="宋体"/>
        </w:rPr>
        <w:t>须具有完全履行招标文件的所有要求的能力；</w:t>
      </w:r>
      <w:r>
        <w:rPr>
          <w:rFonts w:hint="eastAsia" w:hAnsi="宋体"/>
        </w:rPr>
        <w:br w:type="textWrapping"/>
      </w:r>
      <w:r>
        <w:rPr>
          <w:rFonts w:hint="eastAsia" w:hAnsi="宋体"/>
        </w:rPr>
        <w:t xml:space="preserve">  （8）投标人须负责提供合理的便于运输的包装物，并承担相关费用；</w:t>
      </w:r>
      <w:r>
        <w:rPr>
          <w:rFonts w:hint="eastAsia" w:hAnsi="宋体"/>
        </w:rPr>
        <w:br w:type="textWrapping"/>
      </w:r>
      <w:r>
        <w:rPr>
          <w:rFonts w:hint="eastAsia" w:hAnsi="宋体"/>
        </w:rPr>
        <w:t> （9）投标人须认可招标人的工作指令，包括节、假日能正常开展工作的要求；</w:t>
      </w:r>
      <w:r>
        <w:rPr>
          <w:rFonts w:hint="eastAsia" w:hAnsi="宋体"/>
        </w:rPr>
        <w:br w:type="textWrapping"/>
      </w:r>
      <w:r>
        <w:rPr>
          <w:rFonts w:hint="eastAsia" w:hAnsi="宋体"/>
        </w:rPr>
        <w:t> （10）投标人必须是最终投标、签订合同的单位，不得以任何理由将已中标项目以任何形式转包给其他单位；</w:t>
      </w:r>
    </w:p>
    <w:p w14:paraId="0D038F19">
      <w:pPr>
        <w:pStyle w:val="6"/>
        <w:spacing w:line="360" w:lineRule="auto"/>
        <w:ind w:firstLine="205" w:firstLineChars="98"/>
        <w:rPr>
          <w:rFonts w:hint="eastAsia" w:ascii="宋体" w:hAnsi="宋体" w:eastAsia="宋体" w:cs="Times New Roman"/>
          <w:lang w:val="en-US" w:eastAsia="zh-CN"/>
        </w:rPr>
      </w:pPr>
      <w:r>
        <w:rPr>
          <w:rFonts w:hint="eastAsia" w:ascii="宋体" w:hAnsi="宋体" w:eastAsia="宋体" w:cs="Times New Roman"/>
          <w:lang w:eastAsia="zh-CN"/>
        </w:rPr>
        <w:t>（</w:t>
      </w:r>
      <w:r>
        <w:rPr>
          <w:rFonts w:hint="eastAsia" w:ascii="宋体" w:hAnsi="宋体" w:eastAsia="宋体" w:cs="Times New Roman"/>
          <w:lang w:val="en-US" w:eastAsia="zh-CN"/>
        </w:rPr>
        <w:t>11</w:t>
      </w:r>
      <w:r>
        <w:rPr>
          <w:rFonts w:hint="eastAsia" w:ascii="宋体" w:hAnsi="宋体" w:eastAsia="宋体" w:cs="Times New Roman"/>
          <w:lang w:eastAsia="zh-CN"/>
        </w:rPr>
        <w:t>）</w:t>
      </w:r>
      <w:r>
        <w:rPr>
          <w:rFonts w:hint="eastAsia" w:ascii="宋体" w:hAnsi="宋体" w:eastAsia="宋体" w:cs="Times New Roman"/>
        </w:rPr>
        <w:t>投标人没有被列入招标人处《黑名单》（指投标人与招标人在以往或正在进行的合作中，存在招标人认为的违反合同约定或违反法律法规等失信行为</w:t>
      </w:r>
      <w:r>
        <w:rPr>
          <w:rFonts w:hint="eastAsia" w:ascii="宋体" w:hAnsi="宋体" w:eastAsia="宋体" w:cs="Times New Roman"/>
          <w:lang w:eastAsia="zh-CN"/>
        </w:rPr>
        <w:t>，</w:t>
      </w:r>
      <w:r>
        <w:rPr>
          <w:rFonts w:hint="eastAsia" w:ascii="宋体" w:hAnsi="宋体" w:eastAsia="宋体" w:cs="Times New Roman"/>
          <w:lang w:val="en-US" w:eastAsia="zh-CN"/>
        </w:rPr>
        <w:t>或存在被</w:t>
      </w:r>
      <w:r>
        <w:rPr>
          <w:rFonts w:hint="eastAsia" w:ascii="宋体" w:hAnsi="宋体" w:eastAsia="宋体" w:cs="Times New Roman"/>
        </w:rPr>
        <w:t>招标人或其关联公司</w:t>
      </w:r>
      <w:r>
        <w:rPr>
          <w:rFonts w:hint="eastAsia" w:ascii="宋体" w:hAnsi="宋体" w:eastAsia="宋体" w:cs="Times New Roman"/>
          <w:lang w:val="en-US" w:eastAsia="zh-CN"/>
        </w:rPr>
        <w:t>在合同结束后进行</w:t>
      </w:r>
      <w:r>
        <w:rPr>
          <w:rFonts w:hint="eastAsia" w:ascii="宋体" w:hAnsi="宋体" w:eastAsia="宋体" w:cs="Times New Roman"/>
        </w:rPr>
        <w:t>《废旧物资类供应商绩效评价》</w:t>
      </w:r>
      <w:r>
        <w:rPr>
          <w:rFonts w:hint="eastAsia" w:ascii="宋体" w:hAnsi="宋体" w:eastAsia="宋体" w:cs="Times New Roman"/>
          <w:lang w:val="en-US" w:eastAsia="zh-CN"/>
        </w:rPr>
        <w:t>时不推荐</w:t>
      </w:r>
      <w:r>
        <w:rPr>
          <w:rFonts w:hint="eastAsia" w:ascii="宋体" w:hAnsi="宋体" w:eastAsia="宋体" w:cs="Times New Roman"/>
        </w:rPr>
        <w:t>继续参加招标</w:t>
      </w:r>
      <w:r>
        <w:rPr>
          <w:rFonts w:hint="eastAsia" w:ascii="宋体" w:hAnsi="宋体" w:eastAsia="宋体" w:cs="Times New Roman"/>
          <w:lang w:eastAsia="zh-CN"/>
        </w:rPr>
        <w:t>的</w:t>
      </w:r>
      <w:r>
        <w:rPr>
          <w:rFonts w:hint="eastAsia" w:ascii="宋体" w:hAnsi="宋体" w:eastAsia="宋体" w:cs="Times New Roman"/>
          <w:lang w:val="en-US" w:eastAsia="zh-CN"/>
        </w:rPr>
        <w:t>情况，或存在</w:t>
      </w:r>
      <w:r>
        <w:rPr>
          <w:rFonts w:hint="eastAsia" w:ascii="宋体" w:hAnsi="宋体" w:eastAsia="宋体" w:cs="Times New Roman"/>
        </w:rPr>
        <w:t>恶意投标、恶意投诉、放弃顺延中标资格、沟通态度恶劣等情况</w:t>
      </w:r>
      <w:r>
        <w:rPr>
          <w:rFonts w:hint="eastAsia" w:ascii="宋体" w:hAnsi="宋体" w:eastAsia="宋体" w:cs="Times New Roman"/>
          <w:lang w:val="en-US" w:eastAsia="zh-CN"/>
        </w:rPr>
        <w:t>而被列入黑名单</w:t>
      </w:r>
      <w:r>
        <w:rPr>
          <w:rFonts w:hint="eastAsia" w:ascii="宋体" w:hAnsi="宋体" w:eastAsia="宋体" w:cs="Times New Roman"/>
        </w:rPr>
        <w:t>）</w:t>
      </w:r>
      <w:r>
        <w:rPr>
          <w:rFonts w:hint="eastAsia" w:ascii="宋体" w:hAnsi="宋体" w:eastAsia="宋体" w:cs="Times New Roman"/>
          <w:lang w:val="en-US" w:eastAsia="zh-CN"/>
        </w:rPr>
        <w:t>。</w:t>
      </w:r>
    </w:p>
    <w:p w14:paraId="5D4740B2">
      <w:pPr>
        <w:pStyle w:val="6"/>
        <w:spacing w:line="360" w:lineRule="auto"/>
        <w:ind w:firstLine="205" w:firstLineChars="98"/>
        <w:rPr>
          <w:rFonts w:hint="eastAsia" w:ascii="宋体" w:hAnsi="宋体" w:eastAsia="宋体" w:cs="Times New Roman"/>
          <w:lang w:val="en-US" w:eastAsia="zh-CN"/>
        </w:rPr>
      </w:pPr>
      <w:r>
        <w:rPr>
          <w:rFonts w:hint="eastAsia" w:ascii="宋体" w:hAnsi="宋体" w:eastAsia="宋体" w:cs="Times New Roman"/>
          <w:lang w:val="en-US" w:eastAsia="zh-CN"/>
        </w:rPr>
        <w:t>（12）投标保证金转账凭证（</w:t>
      </w:r>
      <w:r>
        <w:rPr>
          <w:rFonts w:hint="eastAsia"/>
        </w:rPr>
        <w:t>备注</w:t>
      </w:r>
      <w:r>
        <w:rPr>
          <w:rFonts w:hint="eastAsia" w:hAnsi="宋体"/>
          <w:b/>
          <w:bCs/>
          <w:color w:val="FF0000"/>
          <w:highlight w:val="yellow"/>
          <w:lang w:val="en-US" w:eastAsia="zh-CN"/>
        </w:rPr>
        <w:t>废旧物资投标保证金</w:t>
      </w:r>
      <w:r>
        <w:rPr>
          <w:rFonts w:hint="eastAsia" w:ascii="宋体" w:hAnsi="宋体" w:eastAsia="宋体" w:cs="Times New Roman"/>
          <w:lang w:val="en-US" w:eastAsia="zh-CN"/>
        </w:rPr>
        <w:t>）。</w:t>
      </w:r>
    </w:p>
    <w:p w14:paraId="5C6B7136">
      <w:pPr>
        <w:pStyle w:val="6"/>
        <w:spacing w:line="360" w:lineRule="auto"/>
        <w:ind w:firstLine="205" w:firstLineChars="98"/>
        <w:rPr>
          <w:rFonts w:hint="default" w:ascii="宋体" w:hAnsi="宋体" w:eastAsia="宋体" w:cs="Times New Roman"/>
          <w:lang w:val="en-US" w:eastAsia="zh-CN"/>
        </w:rPr>
      </w:pPr>
      <w:r>
        <w:rPr>
          <w:rFonts w:hint="eastAsia" w:ascii="宋体" w:hAnsi="宋体" w:eastAsia="宋体" w:cs="Times New Roman"/>
          <w:lang w:val="en-US" w:eastAsia="zh-CN"/>
        </w:rPr>
        <w:t>（13）</w:t>
      </w:r>
      <w:r>
        <w:rPr>
          <w:rFonts w:hint="eastAsia" w:ascii="宋体" w:hAnsi="宋体" w:eastAsia="宋体" w:cs="Times New Roman"/>
          <w:lang w:eastAsia="zh-CN"/>
        </w:rPr>
        <w:t>未与重汽建立合作关系的潜在投标方需先注册重汽E采通注册网址</w:t>
      </w:r>
      <w:r>
        <w:rPr>
          <w:rFonts w:hint="eastAsia" w:ascii="宋体" w:hAnsi="宋体" w:eastAsia="宋体" w:cs="Times New Roman"/>
          <w:lang w:eastAsia="zh-CN"/>
        </w:rPr>
        <w:fldChar w:fldCharType="begin"/>
      </w:r>
      <w:r>
        <w:rPr>
          <w:rFonts w:hint="eastAsia" w:ascii="宋体" w:hAnsi="宋体" w:eastAsia="宋体" w:cs="Times New Roman"/>
          <w:lang w:eastAsia="zh-CN"/>
        </w:rPr>
        <w:instrText xml:space="preserve"> HYPERLINK "https://ecaitong.sinotruk.com:8012/" \l "/login" \t "_blank" </w:instrText>
      </w:r>
      <w:r>
        <w:rPr>
          <w:rFonts w:hint="eastAsia" w:ascii="宋体" w:hAnsi="宋体" w:eastAsia="宋体" w:cs="Times New Roman"/>
          <w:lang w:eastAsia="zh-CN"/>
        </w:rPr>
        <w:fldChar w:fldCharType="separate"/>
      </w:r>
      <w:r>
        <w:rPr>
          <w:rFonts w:hint="eastAsia" w:ascii="宋体" w:hAnsi="宋体" w:eastAsia="宋体" w:cs="Times New Roman"/>
          <w:lang w:eastAsia="zh-CN"/>
        </w:rPr>
        <w:t>https://ecaitong.sinotruk.com:8012/#/login</w:t>
      </w:r>
      <w:r>
        <w:rPr>
          <w:rFonts w:hint="eastAsia" w:ascii="宋体" w:hAnsi="宋体" w:eastAsia="宋体" w:cs="Times New Roman"/>
          <w:lang w:eastAsia="zh-CN"/>
        </w:rPr>
        <w:fldChar w:fldCharType="end"/>
      </w:r>
      <w:r>
        <w:rPr>
          <w:rFonts w:hint="eastAsia" w:ascii="宋体" w:hAnsi="宋体" w:eastAsia="宋体" w:cs="Times New Roman"/>
          <w:lang w:eastAsia="zh-CN"/>
        </w:rPr>
        <w:t xml:space="preserve"> 注册方法详见《供应商业务操作手册》</w:t>
      </w:r>
    </w:p>
    <w:p w14:paraId="7960E78D">
      <w:pPr>
        <w:pStyle w:val="6"/>
        <w:spacing w:line="360" w:lineRule="auto"/>
        <w:ind w:firstLine="205" w:firstLineChars="98"/>
        <w:rPr>
          <w:rFonts w:hint="eastAsia" w:ascii="宋体" w:hAnsi="宋体" w:eastAsia="宋体" w:cs="Times New Roman"/>
          <w:lang w:val="en-US" w:eastAsia="zh-CN"/>
        </w:rPr>
      </w:pPr>
    </w:p>
    <w:p w14:paraId="1C5D77D4">
      <w:pPr>
        <w:pStyle w:val="6"/>
        <w:spacing w:line="360" w:lineRule="auto"/>
        <w:ind w:left="420"/>
        <w:rPr>
          <w:b/>
        </w:rPr>
      </w:pPr>
      <w:r>
        <w:rPr>
          <w:rFonts w:hint="eastAsia"/>
          <w:b/>
        </w:rPr>
        <w:t>*注：</w:t>
      </w:r>
      <w:r>
        <w:rPr>
          <w:rFonts w:hint="eastAsia"/>
          <w:b/>
          <w:lang w:val="en-US" w:eastAsia="zh-CN"/>
        </w:rPr>
        <w:t>报名</w:t>
      </w:r>
      <w:r>
        <w:rPr>
          <w:rFonts w:hint="eastAsia"/>
          <w:b/>
        </w:rPr>
        <w:t>时需附件上传的材料</w:t>
      </w:r>
    </w:p>
    <w:p w14:paraId="2DF691D7">
      <w:pPr>
        <w:pStyle w:val="6"/>
        <w:spacing w:line="360" w:lineRule="auto"/>
        <w:ind w:left="840"/>
        <w:rPr>
          <w:rFonts w:hint="default" w:eastAsia="宋体"/>
          <w:b/>
          <w:lang w:val="en-US" w:eastAsia="zh-CN"/>
        </w:rPr>
      </w:pPr>
      <w:r>
        <w:rPr>
          <w:rFonts w:hint="eastAsia"/>
          <w:b/>
          <w:highlight w:val="yellow"/>
        </w:rPr>
        <w:t>以上投标条件中，第2、3、</w:t>
      </w:r>
      <w:r>
        <w:rPr>
          <w:b/>
          <w:highlight w:val="yellow"/>
        </w:rPr>
        <w:t>5</w:t>
      </w:r>
      <w:r>
        <w:rPr>
          <w:rFonts w:hint="eastAsia"/>
          <w:b/>
          <w:highlight w:val="yellow"/>
        </w:rPr>
        <w:t>项，报名时需</w:t>
      </w:r>
      <w:r>
        <w:rPr>
          <w:rFonts w:hint="eastAsia"/>
          <w:b/>
          <w:highlight w:val="yellow"/>
          <w:lang w:val="en-US" w:eastAsia="zh-CN"/>
        </w:rPr>
        <w:t>在大企会平台同时</w:t>
      </w:r>
      <w:r>
        <w:rPr>
          <w:rFonts w:hint="eastAsia"/>
          <w:b/>
          <w:highlight w:val="yellow"/>
        </w:rPr>
        <w:t>上传相应证明文件</w:t>
      </w:r>
      <w:r>
        <w:rPr>
          <w:rFonts w:hint="eastAsia"/>
          <w:b/>
          <w:highlight w:val="yellow"/>
          <w:lang w:eastAsia="zh-CN"/>
        </w:rPr>
        <w:t>（</w:t>
      </w:r>
      <w:r>
        <w:rPr>
          <w:rFonts w:hint="eastAsia"/>
          <w:b/>
          <w:color w:val="FF0000"/>
          <w:highlight w:val="yellow"/>
          <w:lang w:val="en-US" w:eastAsia="zh-CN"/>
        </w:rPr>
        <w:t>要求PDF格式</w:t>
      </w:r>
      <w:r>
        <w:rPr>
          <w:rFonts w:hint="eastAsia"/>
          <w:b/>
          <w:highlight w:val="yellow"/>
          <w:lang w:eastAsia="zh-CN"/>
        </w:rPr>
        <w:t>）</w:t>
      </w:r>
      <w:r>
        <w:rPr>
          <w:rFonts w:hint="eastAsia"/>
          <w:b/>
          <w:highlight w:val="yellow"/>
        </w:rPr>
        <w:t>，否则视为无效。</w:t>
      </w:r>
      <w:r>
        <w:rPr>
          <w:rFonts w:hint="eastAsia"/>
          <w:b/>
          <w:highlight w:val="yellow"/>
          <w:lang w:val="en-US" w:eastAsia="zh-CN"/>
        </w:rPr>
        <w:t>报名材料不全或资质不符合本次招标要求的，将予以直接退回或审核不通过，不再另行通知。</w:t>
      </w:r>
    </w:p>
    <w:p w14:paraId="37BA45BA">
      <w:pPr>
        <w:pStyle w:val="6"/>
        <w:spacing w:line="360" w:lineRule="auto"/>
        <w:ind w:left="631" w:leftChars="200" w:hanging="211" w:hangingChars="100"/>
        <w:rPr>
          <w:b/>
        </w:rPr>
      </w:pPr>
      <w:r>
        <w:rPr>
          <w:rFonts w:hint="eastAsia"/>
          <w:b/>
        </w:rPr>
        <w:t>2、投标要求</w:t>
      </w:r>
    </w:p>
    <w:p w14:paraId="2795C1CF">
      <w:pPr>
        <w:pStyle w:val="6"/>
        <w:spacing w:line="360" w:lineRule="auto"/>
        <w:ind w:left="631" w:leftChars="200" w:hanging="211" w:hangingChars="100"/>
        <w:rPr>
          <w:rFonts w:hAnsi="宋体"/>
          <w:color w:val="0000FF"/>
        </w:rPr>
      </w:pPr>
      <w:r>
        <w:rPr>
          <w:rFonts w:hint="eastAsia" w:hAnsi="宋体"/>
          <w:b/>
        </w:rPr>
        <w:t>报名参与本项目的投标方，需遵循以下要求：</w:t>
      </w:r>
    </w:p>
    <w:p w14:paraId="4081D371">
      <w:pPr>
        <w:pStyle w:val="6"/>
        <w:numPr>
          <w:ilvl w:val="0"/>
          <w:numId w:val="3"/>
        </w:numPr>
        <w:spacing w:line="360" w:lineRule="auto"/>
        <w:rPr>
          <w:b/>
          <w:u w:val="single"/>
        </w:rPr>
      </w:pPr>
      <w:r>
        <w:rPr>
          <w:rFonts w:hint="eastAsia"/>
          <w:b/>
          <w:u w:val="single"/>
        </w:rPr>
        <w:t>投标方向招标方财务部门缴纳</w:t>
      </w:r>
      <w:r>
        <w:rPr>
          <w:rFonts w:hint="eastAsia"/>
          <w:b/>
          <w:color w:val="FF0000"/>
          <w:u w:val="single"/>
          <w:lang w:val="en-US" w:eastAsia="zh-CN"/>
        </w:rPr>
        <w:t>11000</w:t>
      </w:r>
      <w:r>
        <w:rPr>
          <w:rFonts w:hint="eastAsia"/>
          <w:b/>
          <w:u w:val="single"/>
        </w:rPr>
        <w:t>元（人民币）/投标方作为本次投标的投标保证金。</w:t>
      </w:r>
    </w:p>
    <w:p w14:paraId="32BA36DF">
      <w:pPr>
        <w:pStyle w:val="6"/>
        <w:spacing w:line="360" w:lineRule="auto"/>
        <w:rPr>
          <w:rFonts w:hint="default" w:eastAsia="宋体"/>
          <w:b/>
          <w:color w:val="FF0000"/>
          <w:u w:val="single"/>
          <w:lang w:val="en-US" w:eastAsia="zh-CN"/>
        </w:rPr>
      </w:pPr>
      <w:r>
        <w:rPr>
          <w:rFonts w:hint="eastAsia"/>
          <w:b/>
          <w:u w:val="single"/>
        </w:rPr>
        <w:t>*缴纳方式：基本账户转账</w:t>
      </w:r>
      <w:r>
        <w:rPr>
          <w:rFonts w:hint="eastAsia"/>
          <w:b/>
          <w:u w:val="single"/>
          <w:lang w:eastAsia="zh-CN"/>
        </w:rPr>
        <w:t>。</w:t>
      </w:r>
      <w:r>
        <w:rPr>
          <w:rFonts w:hint="eastAsia"/>
          <w:b/>
          <w:u w:val="single"/>
          <w:lang w:val="en-US" w:eastAsia="zh-CN"/>
        </w:rPr>
        <w:t>如本项目分多个包次，只需缴纳一份投标保证金。</w:t>
      </w:r>
    </w:p>
    <w:tbl>
      <w:tblPr>
        <w:tblStyle w:val="14"/>
        <w:tblW w:w="834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6BFE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4" w:hRule="atLeast"/>
        </w:trPr>
        <w:tc>
          <w:tcPr>
            <w:tcW w:w="8346" w:type="dxa"/>
            <w:noWrap w:val="0"/>
            <w:vAlign w:val="center"/>
          </w:tcPr>
          <w:p w14:paraId="1624CB86">
            <w:pPr>
              <w:rPr>
                <w:rFonts w:hint="default" w:ascii="仿宋_GB2312" w:eastAsia="仿宋_GB2312"/>
                <w:szCs w:val="21"/>
                <w:lang w:val="en-US" w:eastAsia="zh-CN"/>
              </w:rPr>
            </w:pPr>
            <w:r>
              <w:rPr>
                <w:rFonts w:ascii="宋体" w:hAnsi="宋体" w:eastAsia="宋体" w:cs="宋体"/>
                <w:sz w:val="24"/>
                <w:szCs w:val="24"/>
              </w:rPr>
              <w:t>开户银行：中国建设银行股份有限公司济南天桥支行</w:t>
            </w:r>
          </w:p>
        </w:tc>
      </w:tr>
      <w:tr w14:paraId="3793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8346" w:type="dxa"/>
            <w:noWrap w:val="0"/>
            <w:vAlign w:val="center"/>
          </w:tcPr>
          <w:p w14:paraId="37C249AE">
            <w:pPr>
              <w:rPr>
                <w:rFonts w:hint="eastAsia" w:ascii="仿宋_GB2312" w:eastAsia="仿宋_GB2312"/>
                <w:szCs w:val="21"/>
              </w:rPr>
            </w:pPr>
            <w:r>
              <w:rPr>
                <w:rFonts w:ascii="宋体" w:hAnsi="宋体" w:eastAsia="宋体" w:cs="宋体"/>
                <w:sz w:val="24"/>
                <w:szCs w:val="24"/>
              </w:rPr>
              <w:t>户名：中国重汽集团济南动力有限公司</w:t>
            </w:r>
          </w:p>
        </w:tc>
      </w:tr>
      <w:tr w14:paraId="33C5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8346" w:type="dxa"/>
            <w:noWrap w:val="0"/>
            <w:vAlign w:val="center"/>
          </w:tcPr>
          <w:p w14:paraId="562C0785">
            <w:pPr>
              <w:rPr>
                <w:rFonts w:hint="default" w:ascii="仿宋_GB2312" w:eastAsia="仿宋_GB2312"/>
                <w:szCs w:val="21"/>
                <w:lang w:val="en-US" w:eastAsia="zh-CN"/>
              </w:rPr>
            </w:pPr>
            <w:r>
              <w:rPr>
                <w:rFonts w:ascii="宋体" w:hAnsi="宋体" w:eastAsia="宋体" w:cs="宋体"/>
                <w:sz w:val="24"/>
                <w:szCs w:val="24"/>
              </w:rPr>
              <w:t>账号：37001616508050150300</w:t>
            </w:r>
          </w:p>
        </w:tc>
      </w:tr>
      <w:tr w14:paraId="4EBB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trPr>
        <w:tc>
          <w:tcPr>
            <w:tcW w:w="8346" w:type="dxa"/>
            <w:noWrap w:val="0"/>
            <w:vAlign w:val="center"/>
          </w:tcPr>
          <w:p w14:paraId="2ADE28E2">
            <w:pPr>
              <w:rPr>
                <w:rFonts w:hint="eastAsia" w:ascii="仿宋_GB2312" w:eastAsia="仿宋_GB2312"/>
                <w:szCs w:val="21"/>
              </w:rPr>
            </w:pPr>
            <w:r>
              <w:rPr>
                <w:rFonts w:ascii="宋体" w:hAnsi="宋体" w:eastAsia="宋体" w:cs="宋体"/>
                <w:sz w:val="24"/>
                <w:szCs w:val="24"/>
              </w:rPr>
              <w:t>开户行行号：105451000362</w:t>
            </w:r>
          </w:p>
        </w:tc>
      </w:tr>
    </w:tbl>
    <w:p w14:paraId="7537F9E9">
      <w:pPr>
        <w:pStyle w:val="6"/>
        <w:spacing w:line="360" w:lineRule="auto"/>
        <w:ind w:left="210" w:leftChars="100" w:firstLine="210" w:firstLineChars="100"/>
        <w:rPr>
          <w:color w:val="4472C4"/>
        </w:rPr>
      </w:pPr>
      <w:r>
        <w:rPr>
          <w:rFonts w:hint="eastAsia"/>
        </w:rPr>
        <w:t>（</w:t>
      </w:r>
      <w:r>
        <w:t>2</w:t>
      </w:r>
      <w:r>
        <w:rPr>
          <w:rFonts w:hint="eastAsia"/>
        </w:rPr>
        <w:t>）投标保证金需在指定时间前转入指定账户，并备注</w:t>
      </w:r>
      <w:r>
        <w:rPr>
          <w:rFonts w:hint="eastAsia" w:hAnsi="宋体"/>
          <w:b/>
          <w:bCs/>
          <w:color w:val="FF0000"/>
          <w:highlight w:val="yellow"/>
          <w:lang w:val="en-US" w:eastAsia="zh-CN"/>
        </w:rPr>
        <w:t>废旧物资招标保证金</w:t>
      </w:r>
      <w:r>
        <w:rPr>
          <w:rFonts w:hint="eastAsia"/>
        </w:rPr>
        <w:t>，逾期转入的投标方将无法参与招投标。保证金转入成功后，必须向</w:t>
      </w:r>
      <w:r>
        <w:rPr>
          <w:rFonts w:hint="eastAsia"/>
          <w:highlight w:val="yellow"/>
          <w:lang w:val="en-US" w:eastAsia="zh-CN"/>
        </w:rPr>
        <w:t>liuhongchao@sinotruk.com</w:t>
      </w:r>
      <w:r>
        <w:rPr>
          <w:rFonts w:hint="eastAsia"/>
        </w:rPr>
        <w:t>发送退款账号、账户名称、开户行名称、</w:t>
      </w:r>
      <w:r>
        <w:rPr>
          <w:rFonts w:hint="eastAsia"/>
          <w:color w:val="auto"/>
        </w:rPr>
        <w:t>开户行行号</w:t>
      </w:r>
      <w:r>
        <w:rPr>
          <w:rFonts w:hint="eastAsia"/>
        </w:rPr>
        <w:t>、开户行所在地，否则影响退保证金。</w:t>
      </w:r>
    </w:p>
    <w:p w14:paraId="2BC72810">
      <w:pPr>
        <w:pStyle w:val="6"/>
        <w:spacing w:line="360" w:lineRule="auto"/>
        <w:ind w:firstLine="420"/>
        <w:rPr>
          <w:rFonts w:hint="eastAsia" w:hAnsi="宋体"/>
        </w:rPr>
      </w:pPr>
      <w:r>
        <w:rPr>
          <w:rFonts w:hint="eastAsia" w:hAnsi="宋体"/>
        </w:rPr>
        <w:t>（</w:t>
      </w:r>
      <w:r>
        <w:rPr>
          <w:rFonts w:hAnsi="宋体"/>
        </w:rPr>
        <w:t>3</w:t>
      </w:r>
      <w:r>
        <w:rPr>
          <w:rFonts w:hint="eastAsia" w:hAnsi="宋体"/>
        </w:rPr>
        <w:t>）发生以下情况时，有权没收保证金：</w:t>
      </w:r>
    </w:p>
    <w:p w14:paraId="43ECE65A">
      <w:pPr>
        <w:pStyle w:val="6"/>
        <w:spacing w:line="360" w:lineRule="auto"/>
        <w:ind w:left="420" w:leftChars="200"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供应商在提交响应文件截止时间后撤回响应文件的；</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供应商在响应文件中提供虚假材料的；</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③</w:t>
      </w:r>
      <w:r>
        <w:rPr>
          <w:rFonts w:hint="eastAsia" w:ascii="宋体" w:hAnsi="宋体" w:eastAsia="宋体" w:cs="宋体"/>
          <w:color w:val="000000"/>
          <w:sz w:val="21"/>
          <w:szCs w:val="21"/>
        </w:rPr>
        <w:t>除因不可抗力或谈判文件、询价通知书认可的情形以外，成交供应商不与采购人签订合同的；</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④</w:t>
      </w:r>
      <w:r>
        <w:rPr>
          <w:rFonts w:hint="eastAsia" w:ascii="宋体" w:hAnsi="宋体" w:eastAsia="宋体" w:cs="宋体"/>
          <w:color w:val="000000"/>
          <w:sz w:val="21"/>
          <w:szCs w:val="21"/>
        </w:rPr>
        <w:t>供应商与采购人、其他供应商或者采购代理机构恶意串通、围标、陪标的；</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⑤</w:t>
      </w:r>
      <w:r>
        <w:rPr>
          <w:rFonts w:hint="eastAsia" w:ascii="宋体" w:hAnsi="宋体" w:eastAsia="宋体" w:cs="宋体"/>
          <w:color w:val="000000"/>
          <w:sz w:val="21"/>
          <w:szCs w:val="21"/>
        </w:rPr>
        <w:t>供应商有违约违规行为或被投诉、举报的，在调查处理期间，保证金暂不退还，待调查处理结束后按有关规定处理。</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⑥</w:t>
      </w:r>
      <w:r>
        <w:rPr>
          <w:rFonts w:hint="eastAsia" w:ascii="宋体" w:hAnsi="宋体" w:eastAsia="宋体" w:cs="宋体"/>
          <w:color w:val="000000"/>
          <w:sz w:val="21"/>
          <w:szCs w:val="21"/>
        </w:rPr>
        <w:t>截至开标前3天，投标人无正当理由、未以书面形式向招标人递交说明而在投标截止日不来投标的。</w:t>
      </w:r>
    </w:p>
    <w:p w14:paraId="05B10BEE">
      <w:pPr>
        <w:pStyle w:val="6"/>
        <w:spacing w:line="360" w:lineRule="auto"/>
        <w:ind w:left="420" w:leftChars="200" w:firstLine="0" w:firstLineChars="0"/>
        <w:rPr>
          <w:rFonts w:hint="eastAsia" w:ascii="宋体" w:hAnsi="宋体" w:eastAsia="宋体" w:cs="宋体"/>
          <w:highlight w:val="yellow"/>
        </w:rPr>
      </w:pPr>
      <w:r>
        <w:rPr>
          <w:rFonts w:hint="eastAsia" w:ascii="宋体" w:hAnsi="宋体" w:eastAsia="宋体" w:cs="宋体"/>
          <w:color w:val="000000"/>
          <w:sz w:val="21"/>
          <w:szCs w:val="21"/>
          <w:lang w:val="en-US" w:eastAsia="zh-CN"/>
        </w:rPr>
        <w:t>⑦</w:t>
      </w:r>
      <w:r>
        <w:rPr>
          <w:rFonts w:hint="eastAsia" w:ascii="宋体" w:hAnsi="宋体" w:eastAsia="宋体" w:cs="宋体"/>
          <w:color w:val="000000"/>
          <w:sz w:val="21"/>
          <w:szCs w:val="21"/>
        </w:rPr>
        <w:t>中标方收到招标人或其关联公司通知后7个工作日内完成签订合同</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无正当理由不提供签约资料</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不按时签订合同的</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⑧</w:t>
      </w:r>
      <w:r>
        <w:rPr>
          <w:rFonts w:hint="eastAsia" w:ascii="宋体" w:hAnsi="宋体" w:eastAsia="宋体" w:cs="宋体"/>
          <w:color w:val="000000"/>
          <w:sz w:val="21"/>
          <w:szCs w:val="21"/>
        </w:rPr>
        <w:t>采购文件规定的其他情形</w:t>
      </w:r>
      <w:r>
        <w:rPr>
          <w:rFonts w:hint="eastAsia" w:ascii="宋体" w:hAnsi="宋体" w:eastAsia="宋体" w:cs="宋体"/>
          <w:color w:val="000000"/>
          <w:sz w:val="21"/>
          <w:szCs w:val="21"/>
          <w:lang w:eastAsia="zh-CN"/>
        </w:rPr>
        <w:t>。</w:t>
      </w:r>
    </w:p>
    <w:p w14:paraId="347ED753">
      <w:pPr>
        <w:pStyle w:val="6"/>
        <w:numPr>
          <w:ilvl w:val="0"/>
          <w:numId w:val="4"/>
        </w:numPr>
        <w:spacing w:line="360" w:lineRule="auto"/>
        <w:ind w:firstLine="420" w:firstLineChars="200"/>
        <w:rPr>
          <w:rFonts w:hint="eastAsia" w:hAnsi="宋体"/>
        </w:rPr>
      </w:pPr>
      <w:r>
        <w:rPr>
          <w:rFonts w:hint="eastAsia" w:hAnsi="宋体"/>
        </w:rPr>
        <w:t>保证金转账需使用公司</w:t>
      </w:r>
      <w:r>
        <w:rPr>
          <w:rFonts w:hint="eastAsia" w:hAnsi="宋体"/>
          <w:color w:val="000000"/>
        </w:rPr>
        <w:t>对公账户，</w:t>
      </w:r>
      <w:r>
        <w:rPr>
          <w:rFonts w:hint="eastAsia" w:hAnsi="宋体"/>
        </w:rPr>
        <w:t>不得使用私人账户。不存在以上违规情况的投标方，招标方在整个项目确定中标方后1-2个付款周期内无息退还投标保证金本金给未中标的投标人。</w:t>
      </w:r>
    </w:p>
    <w:p w14:paraId="42906295">
      <w:pPr>
        <w:pStyle w:val="12"/>
        <w:keepNext w:val="0"/>
        <w:keepLines w:val="0"/>
        <w:widowControl/>
        <w:numPr>
          <w:ilvl w:val="0"/>
          <w:numId w:val="0"/>
        </w:numPr>
        <w:suppressLineNumbers w:val="0"/>
        <w:snapToGrid w:val="0"/>
        <w:spacing w:before="0" w:beforeAutospacing="0" w:after="0" w:afterAutospacing="0" w:line="360" w:lineRule="auto"/>
        <w:ind w:leftChars="0" w:right="0" w:rightChars="0" w:firstLine="420" w:firstLineChars="200"/>
        <w:jc w:val="both"/>
        <w:rPr>
          <w:rFonts w:hint="eastAsia"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5）竞价人在阅读竞价文件后，如有疑问，应以书面形式向竞价组织方提出，竞价组织方将以书面形式予以答复，但不说明答复的来源。在竞价报名截止时间前，竞价组织方无论出于自己的考虑，还是出于对竞价人提问的澄清，均可对竞价文件用补充文件的方式进行修改。补充文件将作为竞价文件的组成部分，对所有竞价人均有约束力。</w:t>
      </w:r>
    </w:p>
    <w:p w14:paraId="03DF51D0">
      <w:pPr>
        <w:pStyle w:val="6"/>
        <w:spacing w:line="360" w:lineRule="auto"/>
        <w:ind w:left="631" w:leftChars="200" w:hanging="211" w:hangingChars="100"/>
        <w:rPr>
          <w:rFonts w:hint="eastAsia" w:ascii="宋体" w:hAnsi="Courier New" w:eastAsia="宋体" w:cs="Times New Roman"/>
          <w:b/>
          <w:highlight w:val="none"/>
        </w:rPr>
      </w:pPr>
      <w:r>
        <w:rPr>
          <w:rFonts w:hint="eastAsia" w:ascii="宋体" w:hAnsi="Courier New" w:eastAsia="宋体" w:cs="Times New Roman"/>
          <w:b/>
          <w:highlight w:val="none"/>
        </w:rPr>
        <w:t>3.资质审核方法</w:t>
      </w:r>
      <w:r>
        <w:rPr>
          <w:rFonts w:hint="eastAsia" w:ascii="宋体" w:hAnsi="Courier New" w:eastAsia="宋体" w:cs="Times New Roman"/>
          <w:b/>
          <w:highlight w:val="none"/>
          <w:lang w:eastAsia="zh-CN"/>
        </w:rPr>
        <w:t>（</w:t>
      </w:r>
      <w:r>
        <w:rPr>
          <w:rFonts w:hint="eastAsia" w:ascii="宋体" w:hAnsi="Courier New" w:eastAsia="宋体" w:cs="Times New Roman"/>
          <w:b/>
          <w:highlight w:val="none"/>
          <w:lang w:val="en-US" w:eastAsia="zh-CN"/>
        </w:rPr>
        <w:t>分为资质初审和资质后审）</w:t>
      </w:r>
      <w:r>
        <w:rPr>
          <w:rFonts w:hint="eastAsia" w:ascii="宋体" w:hAnsi="Courier New" w:eastAsia="宋体" w:cs="Times New Roman"/>
          <w:b/>
          <w:highlight w:val="none"/>
        </w:rPr>
        <w:t>：</w:t>
      </w:r>
    </w:p>
    <w:p w14:paraId="55A20A7E">
      <w:pPr>
        <w:pStyle w:val="47"/>
        <w:numPr>
          <w:ilvl w:val="0"/>
          <w:numId w:val="0"/>
        </w:numPr>
        <w:adjustRightInd w:val="0"/>
        <w:snapToGrid w:val="0"/>
        <w:ind w:lef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宋体" w:eastAsia="宋体" w:cs="Times New Roman"/>
          <w:kern w:val="2"/>
          <w:sz w:val="21"/>
          <w:highlight w:val="none"/>
          <w:lang w:val="en-US" w:eastAsia="zh-CN" w:bidi="ar-SA"/>
        </w:rPr>
        <w:t>（1）</w:t>
      </w:r>
      <w:r>
        <w:rPr>
          <w:rFonts w:hint="eastAsia" w:ascii="宋体" w:hAnsi="Courier New" w:eastAsia="宋体" w:cs="Times New Roman"/>
          <w:b w:val="0"/>
          <w:bCs/>
          <w:kern w:val="2"/>
          <w:sz w:val="21"/>
          <w:szCs w:val="22"/>
          <w:highlight w:val="none"/>
          <w:lang w:val="en-US" w:eastAsia="zh-CN" w:bidi="ar-SA"/>
        </w:rPr>
        <w:t>报名时间截止后至竞价开始前，竞价组织方对所有上传竞价文件进行初审，审查内容为竞价文件是否符合竞价文件的要求，内容是否完整、文件签署是否齐全等。所有竞价人上传的竞价文件须满足招标条件，并经竞价组织方审核通过后方可获得该项目的竞价资格：竞价组织方将在竞价开始前审查相关必要资料，资质不符合者或未向竞价组织方提供竞价保证金付款证明的一律视为无 效竞价。</w:t>
      </w:r>
    </w:p>
    <w:p w14:paraId="5DE7CD01">
      <w:pPr>
        <w:pStyle w:val="47"/>
        <w:numPr>
          <w:ilvl w:val="0"/>
          <w:numId w:val="0"/>
        </w:numPr>
        <w:adjustRightInd w:val="0"/>
        <w:snapToGrid w:val="0"/>
        <w:ind w:lef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宋体" w:eastAsia="宋体" w:cs="Times New Roman"/>
          <w:kern w:val="2"/>
          <w:sz w:val="21"/>
          <w:highlight w:val="none"/>
          <w:lang w:val="en-US" w:eastAsia="zh-CN" w:bidi="ar-SA"/>
        </w:rPr>
        <w:t>（2）</w:t>
      </w:r>
      <w:r>
        <w:rPr>
          <w:rFonts w:hint="eastAsia" w:ascii="宋体" w:hAnsi="Courier New" w:eastAsia="宋体" w:cs="Times New Roman"/>
          <w:b w:val="0"/>
          <w:bCs/>
          <w:kern w:val="2"/>
          <w:sz w:val="21"/>
          <w:szCs w:val="22"/>
          <w:highlight w:val="none"/>
          <w:lang w:val="en-US" w:eastAsia="zh-CN" w:bidi="ar-SA"/>
        </w:rPr>
        <w:t>经初审通过后的竞价人方可开放竞价权限，否则将进入审核退回状态。</w:t>
      </w:r>
    </w:p>
    <w:p w14:paraId="2FA86FCF">
      <w:pPr>
        <w:pStyle w:val="47"/>
        <w:numPr>
          <w:ilvl w:val="0"/>
          <w:numId w:val="0"/>
        </w:numPr>
        <w:adjustRightInd w:val="0"/>
        <w:snapToGrid w:val="0"/>
        <w:ind w:lef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宋体" w:eastAsia="宋体" w:cs="Times New Roman"/>
          <w:kern w:val="2"/>
          <w:sz w:val="21"/>
          <w:highlight w:val="none"/>
          <w:lang w:val="en-US" w:eastAsia="zh-CN" w:bidi="ar-SA"/>
        </w:rPr>
        <w:t>（3）</w:t>
      </w:r>
      <w:r>
        <w:rPr>
          <w:rFonts w:hint="eastAsia" w:ascii="宋体" w:hAnsi="Courier New" w:eastAsia="宋体" w:cs="Times New Roman"/>
          <w:b w:val="0"/>
          <w:bCs/>
          <w:kern w:val="2"/>
          <w:sz w:val="21"/>
          <w:szCs w:val="22"/>
          <w:highlight w:val="none"/>
          <w:lang w:val="en-US" w:eastAsia="zh-CN" w:bidi="ar-SA"/>
        </w:rPr>
        <w:t>竞价结束后，竞价组织方导出最终的竞价结果，作为价格审核和合同签订的有效依据。</w:t>
      </w:r>
    </w:p>
    <w:p w14:paraId="4A45DEEB">
      <w:pPr>
        <w:pStyle w:val="47"/>
        <w:numPr>
          <w:ilvl w:val="0"/>
          <w:numId w:val="0"/>
        </w:numPr>
        <w:adjustRightInd w:val="0"/>
        <w:snapToGrid w:val="0"/>
        <w:ind w:lef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宋体" w:eastAsia="宋体" w:cs="Times New Roman"/>
          <w:kern w:val="2"/>
          <w:sz w:val="21"/>
          <w:highlight w:val="none"/>
          <w:lang w:val="en-US" w:eastAsia="zh-CN" w:bidi="ar-SA"/>
        </w:rPr>
        <w:t>（4）</w:t>
      </w:r>
      <w:r>
        <w:rPr>
          <w:rFonts w:hint="eastAsia" w:ascii="宋体" w:hAnsi="Courier New" w:eastAsia="宋体" w:cs="Times New Roman"/>
          <w:b w:val="0"/>
          <w:bCs/>
          <w:kern w:val="2"/>
          <w:sz w:val="21"/>
          <w:szCs w:val="22"/>
          <w:highlight w:val="none"/>
          <w:lang w:val="en-US" w:eastAsia="zh-CN" w:bidi="ar-SA"/>
        </w:rPr>
        <w:t>在正式签订合同所需提供的证明材料审查期间，竞价人企图影响竞价组织方的任何活动，将导致竞价结果无法正常执行的，并承担相应的法律责任。竞价组织方保留采用二标和对违约中标方处置的权利。</w:t>
      </w:r>
    </w:p>
    <w:p w14:paraId="3A0EB4CC">
      <w:pPr>
        <w:pStyle w:val="6"/>
        <w:spacing w:line="360" w:lineRule="auto"/>
        <w:ind w:firstLine="420" w:firstLineChars="200"/>
        <w:rPr>
          <w:rFonts w:hint="eastAsia"/>
          <w:strike/>
          <w:dstrike w:val="0"/>
          <w:szCs w:val="22"/>
          <w:highlight w:val="none"/>
        </w:rPr>
      </w:pPr>
      <w:r>
        <w:rPr>
          <w:rFonts w:hint="eastAsia" w:ascii="宋体" w:hAnsi="宋体" w:eastAsia="宋体" w:cs="Times New Roman"/>
          <w:kern w:val="2"/>
          <w:sz w:val="21"/>
          <w:highlight w:val="none"/>
          <w:lang w:val="en-US" w:eastAsia="zh-CN" w:bidi="ar-SA"/>
        </w:rPr>
        <w:t>（5）</w:t>
      </w:r>
      <w:r>
        <w:rPr>
          <w:rFonts w:hint="eastAsia"/>
          <w:szCs w:val="22"/>
          <w:highlight w:val="none"/>
        </w:rPr>
        <w:t>资质后审</w:t>
      </w:r>
      <w:r>
        <w:rPr>
          <w:rFonts w:hint="eastAsia" w:ascii="宋体" w:hAnsi="宋体" w:eastAsia="宋体" w:cs="宋体"/>
          <w:b w:val="0"/>
          <w:bCs w:val="0"/>
          <w:sz w:val="21"/>
          <w:szCs w:val="21"/>
          <w:highlight w:val="none"/>
        </w:rPr>
        <w:t>是</w:t>
      </w:r>
      <w:r>
        <w:rPr>
          <w:rFonts w:hint="eastAsia" w:ascii="宋体" w:hAnsi="宋体" w:eastAsia="宋体" w:cs="宋体"/>
          <w:b w:val="0"/>
          <w:bCs w:val="0"/>
          <w:sz w:val="21"/>
          <w:szCs w:val="21"/>
          <w:highlight w:val="none"/>
          <w:lang w:val="en-US" w:eastAsia="zh-CN"/>
        </w:rPr>
        <w:t>招标人有权根据项目情况，在</w:t>
      </w:r>
      <w:r>
        <w:rPr>
          <w:rFonts w:hint="eastAsia" w:ascii="宋体" w:hAnsi="宋体" w:eastAsia="宋体" w:cs="宋体"/>
          <w:b w:val="0"/>
          <w:bCs w:val="0"/>
          <w:sz w:val="21"/>
          <w:szCs w:val="21"/>
          <w:highlight w:val="none"/>
        </w:rPr>
        <w:t>对中标候选人的经营状况、服务质量、资格、信誉</w:t>
      </w:r>
      <w:r>
        <w:rPr>
          <w:rFonts w:hint="eastAsia" w:ascii="宋体" w:hAnsi="宋体" w:eastAsia="宋体" w:cs="宋体"/>
          <w:b w:val="0"/>
          <w:bCs w:val="0"/>
          <w:sz w:val="21"/>
          <w:szCs w:val="21"/>
          <w:highlight w:val="none"/>
          <w:lang w:val="en-US" w:eastAsia="zh-CN"/>
        </w:rPr>
        <w:t>或</w:t>
      </w:r>
      <w:r>
        <w:rPr>
          <w:rFonts w:hint="eastAsia" w:ascii="宋体" w:hAnsi="宋体" w:eastAsia="宋体" w:cs="宋体"/>
          <w:b w:val="0"/>
          <w:bCs w:val="0"/>
          <w:sz w:val="21"/>
          <w:szCs w:val="21"/>
          <w:highlight w:val="none"/>
        </w:rPr>
        <w:t>招标人认为有必要了解的其它问题作进一步的考查及后审</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可</w:t>
      </w:r>
      <w:r>
        <w:rPr>
          <w:rFonts w:hint="eastAsia"/>
          <w:szCs w:val="22"/>
          <w:highlight w:val="none"/>
        </w:rPr>
        <w:t>采取问询或实地查证等方式</w:t>
      </w:r>
      <w:r>
        <w:rPr>
          <w:rFonts w:hint="eastAsia"/>
          <w:szCs w:val="22"/>
          <w:highlight w:val="none"/>
          <w:lang w:eastAsia="zh-CN"/>
        </w:rPr>
        <w:t>。</w:t>
      </w:r>
      <w:r>
        <w:rPr>
          <w:rFonts w:hint="eastAsia" w:ascii="宋体" w:hAnsi="宋体" w:eastAsia="宋体" w:cs="宋体"/>
          <w:b w:val="0"/>
          <w:bCs w:val="0"/>
          <w:sz w:val="21"/>
          <w:szCs w:val="21"/>
          <w:highlight w:val="none"/>
        </w:rPr>
        <w:t>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3A615BC0">
      <w:pPr>
        <w:pStyle w:val="6"/>
        <w:spacing w:line="360" w:lineRule="auto"/>
        <w:ind w:left="631" w:leftChars="200" w:hanging="211" w:hangingChars="100"/>
        <w:rPr>
          <w:rFonts w:hint="eastAsia" w:ascii="宋体" w:hAnsi="Courier New" w:eastAsia="宋体" w:cs="Times New Roman"/>
          <w:b/>
        </w:rPr>
      </w:pPr>
      <w:r>
        <w:rPr>
          <w:rFonts w:hint="eastAsia" w:ascii="宋体" w:hAnsi="Courier New" w:eastAsia="宋体" w:cs="Times New Roman"/>
          <w:b/>
        </w:rPr>
        <w:t>4、现场勘察</w:t>
      </w:r>
    </w:p>
    <w:p w14:paraId="48D94685">
      <w:pPr>
        <w:pStyle w:val="6"/>
        <w:spacing w:line="360" w:lineRule="auto"/>
        <w:ind w:firstLine="420"/>
        <w:rPr>
          <w:rFonts w:hint="default" w:eastAsia="宋体"/>
          <w:bCs/>
          <w:lang w:val="en-US" w:eastAsia="zh-CN"/>
        </w:rPr>
      </w:pPr>
      <w:r>
        <w:rPr>
          <w:rFonts w:hint="eastAsia"/>
          <w:bCs/>
        </w:rPr>
        <w:t>物资状态以现场实物为准，如投标方放弃看现场，视为认可现场实物状态。各投标方如需查看现场实物，联系电话：</w:t>
      </w:r>
      <w:r>
        <w:rPr>
          <w:rFonts w:hint="eastAsia"/>
          <w:bCs/>
          <w:lang w:val="en-US" w:eastAsia="zh-CN"/>
        </w:rPr>
        <w:t>18366187704</w:t>
      </w:r>
      <w:r>
        <w:rPr>
          <w:rFonts w:hint="eastAsia"/>
          <w:bCs/>
        </w:rPr>
        <w:t>。如未按时报名，视为放弃查看机会</w:t>
      </w:r>
      <w:r>
        <w:rPr>
          <w:rFonts w:hint="eastAsia"/>
          <w:bCs/>
          <w:lang w:eastAsia="zh-CN"/>
        </w:rPr>
        <w:t>，</w:t>
      </w:r>
      <w:r>
        <w:rPr>
          <w:rFonts w:hint="eastAsia"/>
          <w:bCs/>
          <w:lang w:val="en-US" w:eastAsia="zh-CN"/>
        </w:rPr>
        <w:t>不再单独组织看货</w:t>
      </w:r>
      <w:r>
        <w:rPr>
          <w:rFonts w:hint="eastAsia"/>
          <w:bCs/>
        </w:rPr>
        <w:t>。</w:t>
      </w:r>
    </w:p>
    <w:p w14:paraId="0C6F9C48">
      <w:pPr>
        <w:pStyle w:val="6"/>
        <w:spacing w:line="360" w:lineRule="auto"/>
        <w:ind w:firstLine="420"/>
        <w:rPr>
          <w:rFonts w:hint="eastAsia"/>
          <w:bCs/>
          <w:highlight w:val="yellow"/>
          <w:lang w:val="en-US" w:eastAsia="zh-CN"/>
        </w:rPr>
      </w:pPr>
      <w:r>
        <w:rPr>
          <w:rFonts w:hint="eastAsia"/>
          <w:bCs/>
          <w:highlight w:val="yellow"/>
          <w:lang w:val="en-US" w:eastAsia="zh-CN"/>
        </w:rPr>
        <w:t>投标方无书面反馈视为完全响应本招标文件内容、现场业务现状及管理要求。</w:t>
      </w:r>
    </w:p>
    <w:p w14:paraId="5EF35FBC">
      <w:pPr>
        <w:pStyle w:val="6"/>
        <w:spacing w:line="360" w:lineRule="auto"/>
        <w:ind w:firstLine="422" w:firstLineChars="200"/>
        <w:rPr>
          <w:rFonts w:hint="eastAsia" w:ascii="宋体" w:hAnsi="Courier New" w:eastAsia="宋体" w:cs="Times New Roman"/>
          <w:b/>
          <w:lang w:val="en-US" w:eastAsia="zh-CN"/>
        </w:rPr>
      </w:pPr>
      <w:r>
        <w:rPr>
          <w:rFonts w:hint="eastAsia" w:ascii="宋体" w:hAnsi="Courier New" w:eastAsia="宋体" w:cs="Times New Roman"/>
          <w:b/>
          <w:lang w:val="en-US" w:eastAsia="zh-CN"/>
        </w:rPr>
        <w:t>5、时间安排</w:t>
      </w:r>
    </w:p>
    <w:tbl>
      <w:tblPr>
        <w:tblStyle w:val="14"/>
        <w:tblW w:w="7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1646"/>
        <w:gridCol w:w="1610"/>
        <w:gridCol w:w="1670"/>
        <w:gridCol w:w="1410"/>
      </w:tblGrid>
      <w:tr w14:paraId="644F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noWrap w:val="0"/>
            <w:vAlign w:val="top"/>
          </w:tcPr>
          <w:p w14:paraId="6A6D80C1">
            <w:pPr>
              <w:pStyle w:val="6"/>
              <w:spacing w:line="360" w:lineRule="auto"/>
              <w:jc w:val="center"/>
              <w:rPr>
                <w:rFonts w:hint="eastAsia" w:eastAsia="宋体"/>
                <w:b/>
                <w:bCs/>
                <w:color w:val="auto"/>
                <w:lang w:val="en-US" w:eastAsia="zh-CN"/>
              </w:rPr>
            </w:pPr>
            <w:r>
              <w:rPr>
                <w:rFonts w:hint="eastAsia"/>
                <w:b/>
                <w:bCs/>
                <w:color w:val="auto"/>
                <w:lang w:val="en-US" w:eastAsia="zh-CN"/>
              </w:rPr>
              <w:t>序号</w:t>
            </w:r>
          </w:p>
        </w:tc>
        <w:tc>
          <w:tcPr>
            <w:tcW w:w="1646" w:type="dxa"/>
            <w:noWrap w:val="0"/>
            <w:vAlign w:val="top"/>
          </w:tcPr>
          <w:p w14:paraId="5AA1A8E5">
            <w:pPr>
              <w:pStyle w:val="6"/>
              <w:spacing w:line="360" w:lineRule="auto"/>
              <w:jc w:val="center"/>
              <w:rPr>
                <w:rFonts w:hint="eastAsia" w:ascii="宋体" w:hAnsi="Courier New" w:eastAsia="宋体" w:cs="Times New Roman"/>
                <w:b/>
                <w:bCs/>
                <w:color w:val="auto"/>
              </w:rPr>
            </w:pPr>
            <w:r>
              <w:rPr>
                <w:rFonts w:hint="eastAsia" w:ascii="宋体" w:hAnsi="Courier New" w:eastAsia="宋体" w:cs="Times New Roman"/>
                <w:b/>
                <w:bCs/>
                <w:color w:val="auto"/>
                <w:lang w:val="en-US" w:eastAsia="zh-CN"/>
              </w:rPr>
              <w:t>大企会报名截止时间</w:t>
            </w:r>
          </w:p>
        </w:tc>
        <w:tc>
          <w:tcPr>
            <w:tcW w:w="1610" w:type="dxa"/>
            <w:noWrap w:val="0"/>
            <w:vAlign w:val="top"/>
          </w:tcPr>
          <w:p w14:paraId="54B8E3F8">
            <w:pPr>
              <w:pStyle w:val="6"/>
              <w:spacing w:line="360" w:lineRule="auto"/>
              <w:jc w:val="center"/>
              <w:rPr>
                <w:rFonts w:hint="eastAsia" w:ascii="宋体" w:hAnsi="Courier New"/>
                <w:b/>
                <w:bCs/>
                <w:color w:val="auto"/>
                <w:kern w:val="2"/>
                <w:sz w:val="21"/>
                <w:lang w:val="en-US" w:eastAsia="zh-CN" w:bidi="ar-SA"/>
              </w:rPr>
            </w:pPr>
            <w:r>
              <w:rPr>
                <w:rFonts w:hint="eastAsia" w:ascii="宋体" w:hAnsi="Courier New" w:eastAsia="宋体" w:cs="Times New Roman"/>
                <w:b/>
                <w:bCs/>
                <w:color w:val="auto"/>
              </w:rPr>
              <w:t>勘察现场时间</w:t>
            </w:r>
          </w:p>
        </w:tc>
        <w:tc>
          <w:tcPr>
            <w:tcW w:w="1670" w:type="dxa"/>
            <w:noWrap w:val="0"/>
            <w:vAlign w:val="top"/>
          </w:tcPr>
          <w:p w14:paraId="1EB7254B">
            <w:pPr>
              <w:pStyle w:val="6"/>
              <w:spacing w:line="360" w:lineRule="auto"/>
              <w:jc w:val="center"/>
              <w:rPr>
                <w:b/>
                <w:bCs/>
                <w:color w:val="auto"/>
              </w:rPr>
            </w:pPr>
            <w:r>
              <w:rPr>
                <w:rFonts w:hint="eastAsia"/>
                <w:b/>
                <w:bCs/>
                <w:color w:val="auto"/>
              </w:rPr>
              <w:t>保证金收取截止时间</w:t>
            </w:r>
          </w:p>
        </w:tc>
        <w:tc>
          <w:tcPr>
            <w:tcW w:w="1410" w:type="dxa"/>
            <w:noWrap w:val="0"/>
            <w:vAlign w:val="top"/>
          </w:tcPr>
          <w:p w14:paraId="5CFCCF2D">
            <w:pPr>
              <w:pStyle w:val="6"/>
              <w:spacing w:line="360" w:lineRule="auto"/>
              <w:jc w:val="center"/>
              <w:rPr>
                <w:b/>
                <w:bCs/>
                <w:color w:val="auto"/>
              </w:rPr>
            </w:pPr>
            <w:r>
              <w:rPr>
                <w:rFonts w:hint="eastAsia"/>
                <w:b/>
                <w:bCs/>
                <w:color w:val="auto"/>
              </w:rPr>
              <w:t>开标时间</w:t>
            </w:r>
          </w:p>
        </w:tc>
      </w:tr>
      <w:tr w14:paraId="2BCB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noWrap w:val="0"/>
            <w:vAlign w:val="top"/>
          </w:tcPr>
          <w:p w14:paraId="745AA1F3">
            <w:pPr>
              <w:pStyle w:val="6"/>
              <w:spacing w:line="360" w:lineRule="auto"/>
              <w:jc w:val="center"/>
              <w:rPr>
                <w:rFonts w:hint="default" w:eastAsia="宋体"/>
                <w:b/>
                <w:bCs/>
                <w:color w:val="FF0000"/>
                <w:lang w:val="en-US" w:eastAsia="zh-CN"/>
              </w:rPr>
            </w:pPr>
            <w:r>
              <w:rPr>
                <w:rFonts w:hint="eastAsia" w:eastAsia="宋体"/>
                <w:b/>
                <w:bCs/>
                <w:color w:val="FF0000"/>
                <w:lang w:val="en-US" w:eastAsia="zh-CN"/>
              </w:rPr>
              <w:t>1</w:t>
            </w:r>
          </w:p>
        </w:tc>
        <w:tc>
          <w:tcPr>
            <w:tcW w:w="1646" w:type="dxa"/>
            <w:noWrap w:val="0"/>
            <w:vAlign w:val="top"/>
          </w:tcPr>
          <w:p w14:paraId="60AA95C8">
            <w:pPr>
              <w:pStyle w:val="6"/>
              <w:spacing w:line="360" w:lineRule="auto"/>
              <w:jc w:val="center"/>
              <w:rPr>
                <w:rFonts w:hint="default" w:ascii="宋体" w:hAnsi="Courier New" w:eastAsia="宋体" w:cs="Times New Roman"/>
                <w:b/>
                <w:bCs/>
                <w:color w:val="auto"/>
                <w:lang w:val="en-US" w:eastAsia="zh-CN"/>
              </w:rPr>
            </w:pPr>
            <w:r>
              <w:rPr>
                <w:rFonts w:hint="eastAsia" w:ascii="宋体" w:hAnsi="Courier New" w:eastAsia="宋体" w:cs="Times New Roman"/>
                <w:b/>
                <w:bCs/>
                <w:color w:val="FF0000"/>
                <w:lang w:val="en-US" w:eastAsia="zh-CN"/>
              </w:rPr>
              <w:t>8月7日17点</w:t>
            </w:r>
          </w:p>
        </w:tc>
        <w:tc>
          <w:tcPr>
            <w:tcW w:w="1610" w:type="dxa"/>
            <w:noWrap w:val="0"/>
            <w:vAlign w:val="top"/>
          </w:tcPr>
          <w:p w14:paraId="486F3BBE">
            <w:pPr>
              <w:pStyle w:val="6"/>
              <w:spacing w:line="360" w:lineRule="auto"/>
              <w:jc w:val="center"/>
              <w:rPr>
                <w:rFonts w:hint="eastAsia" w:ascii="宋体" w:hAnsi="Courier New" w:eastAsia="宋体"/>
                <w:b/>
                <w:bCs/>
                <w:color w:val="FF0000"/>
                <w:kern w:val="2"/>
                <w:sz w:val="21"/>
                <w:lang w:val="en-US" w:eastAsia="zh-CN" w:bidi="ar-SA"/>
              </w:rPr>
            </w:pPr>
            <w:r>
              <w:rPr>
                <w:rFonts w:hint="eastAsia" w:ascii="宋体" w:hAnsi="Courier New" w:eastAsia="宋体" w:cs="Times New Roman"/>
                <w:b/>
                <w:bCs/>
                <w:color w:val="FF0000"/>
                <w:lang w:val="en-US" w:eastAsia="zh-CN"/>
              </w:rPr>
              <w:t>8月7日</w:t>
            </w:r>
          </w:p>
        </w:tc>
        <w:tc>
          <w:tcPr>
            <w:tcW w:w="1670" w:type="dxa"/>
            <w:noWrap w:val="0"/>
            <w:vAlign w:val="top"/>
          </w:tcPr>
          <w:p w14:paraId="02752CA7">
            <w:pPr>
              <w:pStyle w:val="6"/>
              <w:spacing w:line="360" w:lineRule="auto"/>
              <w:rPr>
                <w:rFonts w:hint="default" w:ascii="宋体" w:hAnsi="Courier New" w:eastAsia="宋体"/>
                <w:b/>
                <w:bCs/>
                <w:color w:val="FF0000"/>
                <w:kern w:val="2"/>
                <w:sz w:val="21"/>
                <w:lang w:val="en-US" w:eastAsia="zh-CN" w:bidi="ar-SA"/>
              </w:rPr>
            </w:pPr>
            <w:r>
              <w:rPr>
                <w:rFonts w:hint="eastAsia"/>
                <w:b/>
                <w:bCs/>
                <w:color w:val="FF0000"/>
                <w:lang w:val="en-US" w:eastAsia="zh-CN"/>
              </w:rPr>
              <w:t>8月7日17点</w:t>
            </w:r>
          </w:p>
        </w:tc>
        <w:tc>
          <w:tcPr>
            <w:tcW w:w="1410" w:type="dxa"/>
            <w:noWrap w:val="0"/>
            <w:vAlign w:val="top"/>
          </w:tcPr>
          <w:p w14:paraId="29D89062">
            <w:pPr>
              <w:pStyle w:val="6"/>
              <w:spacing w:line="360" w:lineRule="auto"/>
              <w:rPr>
                <w:rFonts w:hint="default" w:ascii="宋体" w:hAnsi="Courier New" w:eastAsia="宋体"/>
                <w:b/>
                <w:bCs/>
                <w:color w:val="FF0000"/>
                <w:kern w:val="2"/>
                <w:sz w:val="21"/>
                <w:lang w:val="en-US" w:eastAsia="zh-CN" w:bidi="ar-SA"/>
              </w:rPr>
            </w:pPr>
            <w:r>
              <w:rPr>
                <w:rFonts w:hint="eastAsia"/>
                <w:b/>
                <w:bCs/>
                <w:color w:val="FF0000"/>
                <w:lang w:val="en-US" w:eastAsia="zh-CN"/>
              </w:rPr>
              <w:t>8月10日14点</w:t>
            </w:r>
          </w:p>
        </w:tc>
      </w:tr>
    </w:tbl>
    <w:p w14:paraId="69C81854">
      <w:pPr>
        <w:pStyle w:val="6"/>
        <w:spacing w:line="360" w:lineRule="auto"/>
        <w:rPr>
          <w:rFonts w:hint="default" w:eastAsia="宋体"/>
          <w:b/>
          <w:bCs/>
          <w:lang w:val="en-US" w:eastAsia="zh-CN"/>
        </w:rPr>
      </w:pPr>
      <w:r>
        <w:rPr>
          <w:rFonts w:hint="eastAsia"/>
          <w:b/>
          <w:bCs/>
        </w:rPr>
        <w:t>报名及报价</w:t>
      </w:r>
      <w:r>
        <w:rPr>
          <w:rFonts w:hint="eastAsia"/>
          <w:b/>
          <w:bCs/>
          <w:lang w:val="en-US" w:eastAsia="zh-CN"/>
        </w:rPr>
        <w:t>在大企会</w:t>
      </w:r>
      <w:r>
        <w:rPr>
          <w:rFonts w:hint="eastAsia"/>
          <w:b/>
          <w:bCs/>
        </w:rPr>
        <w:t>网站找到对应包次进行,网站</w:t>
      </w:r>
      <w:r>
        <w:rPr>
          <w:rFonts w:hint="eastAsia"/>
          <w:b/>
          <w:bCs/>
          <w:lang w:val="en-US" w:eastAsia="zh-CN"/>
        </w:rPr>
        <w:t>：</w:t>
      </w:r>
      <w:r>
        <w:rPr>
          <w:b/>
          <w:bCs/>
        </w:rPr>
        <w:fldChar w:fldCharType="begin"/>
      </w:r>
      <w:r>
        <w:rPr>
          <w:b/>
          <w:bCs/>
        </w:rPr>
        <w:instrText xml:space="preserve"> HYPERLINK "http://</w:instrText>
      </w:r>
      <w:r>
        <w:rPr>
          <w:rFonts w:hint="eastAsia"/>
          <w:b/>
          <w:bCs/>
        </w:rPr>
        <w:instrText xml:space="preserve">w</w:instrText>
      </w:r>
      <w:r>
        <w:rPr>
          <w:b/>
          <w:bCs/>
        </w:rPr>
        <w:instrText xml:space="preserve">ww.1688.com" </w:instrText>
      </w:r>
      <w:r>
        <w:rPr>
          <w:b/>
          <w:bCs/>
        </w:rPr>
        <w:fldChar w:fldCharType="separate"/>
      </w:r>
      <w:r>
        <w:rPr>
          <w:rStyle w:val="20"/>
          <w:rFonts w:hint="eastAsia"/>
          <w:b/>
          <w:bCs/>
        </w:rPr>
        <w:t>w</w:t>
      </w:r>
      <w:r>
        <w:rPr>
          <w:rStyle w:val="20"/>
          <w:b/>
          <w:bCs/>
        </w:rPr>
        <w:t>ww.</w:t>
      </w:r>
      <w:r>
        <w:rPr>
          <w:rStyle w:val="20"/>
          <w:rFonts w:hint="eastAsia"/>
          <w:b/>
          <w:bCs/>
          <w:lang w:val="en-US" w:eastAsia="zh-CN"/>
        </w:rPr>
        <w:t>daqihui</w:t>
      </w:r>
      <w:r>
        <w:rPr>
          <w:rStyle w:val="20"/>
          <w:b/>
          <w:bCs/>
        </w:rPr>
        <w:t>.com</w:t>
      </w:r>
      <w:r>
        <w:rPr>
          <w:b/>
          <w:bCs/>
        </w:rPr>
        <w:fldChar w:fldCharType="end"/>
      </w:r>
    </w:p>
    <w:p w14:paraId="111DD5A7">
      <w:pPr>
        <w:pStyle w:val="6"/>
        <w:spacing w:line="360" w:lineRule="auto"/>
        <w:ind w:firstLine="422" w:firstLineChars="200"/>
        <w:rPr>
          <w:rFonts w:hint="eastAsia"/>
          <w:b/>
        </w:rPr>
      </w:pPr>
      <w:r>
        <w:rPr>
          <w:rFonts w:hint="eastAsia"/>
          <w:b/>
          <w:lang w:val="en-US" w:eastAsia="zh-CN"/>
        </w:rPr>
        <w:t>6</w:t>
      </w:r>
      <w:r>
        <w:rPr>
          <w:rFonts w:hint="eastAsia"/>
          <w:b/>
        </w:rPr>
        <w:t>、报价</w:t>
      </w:r>
    </w:p>
    <w:p w14:paraId="7FE82E2F">
      <w:pPr>
        <w:pStyle w:val="12"/>
        <w:keepNext w:val="0"/>
        <w:keepLines w:val="0"/>
        <w:widowControl/>
        <w:numPr>
          <w:ilvl w:val="0"/>
          <w:numId w:val="0"/>
        </w:numPr>
        <w:suppressLineNumbers w:val="0"/>
        <w:snapToGrid w:val="0"/>
        <w:spacing w:before="0" w:beforeAutospacing="0" w:after="0" w:afterAutospacing="0" w:line="360" w:lineRule="auto"/>
        <w:ind w:leftChars="0" w:right="0" w:rightChars="0" w:firstLine="420" w:firstLineChars="200"/>
        <w:jc w:val="both"/>
        <w:rPr>
          <w:rFonts w:hint="default" w:ascii="宋体" w:hAnsi="Courier New" w:eastAsia="宋体" w:cs="Times New Roman"/>
          <w:b w:val="0"/>
          <w:bCs/>
          <w:kern w:val="2"/>
          <w:sz w:val="21"/>
          <w:szCs w:val="22"/>
          <w:highlight w:val="none"/>
          <w:lang w:val="en-US" w:eastAsia="zh-CN" w:bidi="ar-SA"/>
        </w:rPr>
      </w:pPr>
      <w:r>
        <w:rPr>
          <w:rFonts w:hint="eastAsia" w:ascii="宋体" w:hAnsi="Courier New" w:eastAsia="宋体" w:cs="Times New Roman"/>
          <w:b w:val="0"/>
          <w:bCs/>
          <w:kern w:val="2"/>
          <w:sz w:val="21"/>
          <w:szCs w:val="22"/>
          <w:highlight w:val="none"/>
          <w:lang w:val="en-US" w:eastAsia="zh-CN" w:bidi="ar-SA"/>
        </w:rPr>
        <w:t>（1）报价货币单位为：元（人民币，含税13%），报价含运杂费、处置费、管理费、设备投入等所有费用。网络平台报价时填报各类单价，竞价时长5分钟，竞价时长内投标方可多次报价，超出竞价时长后最高价格维持120秒，该包次竞价结束，按照报价从高到低排定标次。如是多个明细，平台将以综合总价进行排名（界面中有显示）。如招标项目明确报价需报不含税价，税率选0%，所有内容以招标文件要求为准。</w:t>
      </w:r>
    </w:p>
    <w:p w14:paraId="08560E45">
      <w:pPr>
        <w:keepNext w:val="0"/>
        <w:keepLines w:val="0"/>
        <w:widowControl/>
        <w:numPr>
          <w:ilvl w:val="0"/>
          <w:numId w:val="0"/>
        </w:numPr>
        <w:suppressLineNumbers w:val="0"/>
        <w:spacing w:before="0" w:beforeAutospacing="0" w:after="0" w:afterAutospacing="0" w:line="480" w:lineRule="exact"/>
        <w:ind w:leftChars="0" w:right="0" w:rightChars="0" w:firstLine="420" w:firstLineChars="200"/>
        <w:jc w:val="both"/>
        <w:rPr>
          <w:rFonts w:hint="eastAsia" w:ascii="宋体" w:hAnsi="Courier New" w:eastAsia="宋体" w:cs="Times New Roman"/>
          <w:b w:val="0"/>
          <w:bCs/>
          <w:color w:val="FF0000"/>
          <w:kern w:val="2"/>
          <w:sz w:val="21"/>
          <w:szCs w:val="22"/>
          <w:highlight w:val="none"/>
          <w:lang w:val="en-US" w:eastAsia="zh-CN" w:bidi="ar-SA"/>
        </w:rPr>
      </w:pPr>
      <w:r>
        <w:rPr>
          <w:rFonts w:hint="eastAsia" w:ascii="宋体" w:hAnsi="Courier New" w:eastAsia="宋体" w:cs="Times New Roman"/>
          <w:b w:val="0"/>
          <w:bCs/>
          <w:kern w:val="2"/>
          <w:sz w:val="21"/>
          <w:szCs w:val="22"/>
          <w:highlight w:val="none"/>
          <w:lang w:val="en-US" w:eastAsia="zh-CN" w:bidi="ar-SA"/>
        </w:rPr>
        <w:t>（2）报价过程中出现明显报价错误的投标方，每报错一次考核3000元（投标保证金中扣除），并取消该包次报价资格。</w:t>
      </w:r>
    </w:p>
    <w:p w14:paraId="31B212F0">
      <w:pPr>
        <w:pStyle w:val="6"/>
        <w:spacing w:line="360" w:lineRule="auto"/>
        <w:ind w:firstLine="422" w:firstLineChars="200"/>
        <w:rPr>
          <w:rFonts w:hint="eastAsia" w:ascii="宋体" w:hAnsi="Courier New" w:eastAsia="宋体" w:cs="Times New Roman"/>
          <w:b/>
          <w:highlight w:val="none"/>
          <w:lang w:val="en-US" w:eastAsia="zh-CN"/>
        </w:rPr>
      </w:pPr>
      <w:bookmarkStart w:id="1" w:name="_Toc24380"/>
      <w:bookmarkStart w:id="2" w:name="_Toc21975"/>
      <w:bookmarkStart w:id="3" w:name="_Toc62050486"/>
      <w:r>
        <w:rPr>
          <w:rFonts w:hint="eastAsia" w:ascii="宋体" w:hAnsi="Courier New" w:eastAsia="宋体" w:cs="Times New Roman"/>
          <w:b/>
          <w:highlight w:val="none"/>
          <w:lang w:val="en-US" w:eastAsia="zh-CN"/>
        </w:rPr>
        <w:t>7、竞价做废条件</w:t>
      </w:r>
      <w:bookmarkEnd w:id="1"/>
      <w:bookmarkEnd w:id="2"/>
      <w:bookmarkEnd w:id="3"/>
    </w:p>
    <w:p w14:paraId="7FE0C26E">
      <w:pPr>
        <w:pStyle w:val="46"/>
        <w:numPr>
          <w:ilvl w:val="0"/>
          <w:numId w:val="0"/>
        </w:numPr>
        <w:adjustRightInd w:val="0"/>
        <w:snapToGrid w:val="0"/>
        <w:spacing w:line="480" w:lineRule="exact"/>
        <w:ind w:leftChars="0" w:firstLine="420" w:firstLineChars="200"/>
        <w:rPr>
          <w:rFonts w:hint="eastAsia" w:ascii="宋体" w:hAnsi="Courier New" w:eastAsia="宋体" w:cs="Times New Roman"/>
          <w:b w:val="0"/>
          <w:bCs/>
          <w:kern w:val="2"/>
          <w:sz w:val="21"/>
          <w:szCs w:val="22"/>
          <w:highlight w:val="none"/>
          <w:lang w:val="en-US" w:eastAsia="zh-CN" w:bidi="ar-SA"/>
        </w:rPr>
      </w:pPr>
      <w:bookmarkStart w:id="4" w:name="_Toc62050487"/>
      <w:bookmarkStart w:id="5" w:name="_Toc18352"/>
      <w:bookmarkStart w:id="6" w:name="_Toc20710"/>
      <w:r>
        <w:rPr>
          <w:rFonts w:hint="eastAsia" w:ascii="宋体" w:hAnsi="Courier New" w:eastAsia="宋体" w:cs="Times New Roman"/>
          <w:b w:val="0"/>
          <w:bCs/>
          <w:kern w:val="2"/>
          <w:sz w:val="21"/>
          <w:szCs w:val="22"/>
          <w:highlight w:val="none"/>
          <w:lang w:val="en-US" w:eastAsia="zh-CN" w:bidi="ar-SA"/>
        </w:rPr>
        <w:t>（1）竞价人未按上述要求进行的竞价，竞价组织方将视为废标。</w:t>
      </w:r>
    </w:p>
    <w:p w14:paraId="08E01ECD">
      <w:pPr>
        <w:numPr>
          <w:ilvl w:val="0"/>
          <w:numId w:val="0"/>
        </w:numPr>
        <w:spacing w:line="480" w:lineRule="exact"/>
        <w:ind w:leftChars="0" w:right="2" w:righ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Courier New" w:eastAsia="宋体" w:cs="Times New Roman"/>
          <w:b w:val="0"/>
          <w:bCs/>
          <w:kern w:val="2"/>
          <w:sz w:val="21"/>
          <w:szCs w:val="22"/>
          <w:highlight w:val="none"/>
          <w:lang w:val="en-US" w:eastAsia="zh-CN" w:bidi="ar-SA"/>
        </w:rPr>
        <w:t>（2）竞价结果未达到预期，竞价组织方有权重新组织竞价。</w:t>
      </w:r>
    </w:p>
    <w:p w14:paraId="51E5EDDF">
      <w:pPr>
        <w:numPr>
          <w:ilvl w:val="0"/>
          <w:numId w:val="0"/>
        </w:numPr>
        <w:spacing w:line="480" w:lineRule="exact"/>
        <w:ind w:leftChars="0" w:firstLine="420" w:firstLineChars="200"/>
        <w:rPr>
          <w:rFonts w:hint="eastAsia" w:ascii="宋体" w:hAnsi="Courier New" w:eastAsia="宋体" w:cs="Times New Roman"/>
          <w:b w:val="0"/>
          <w:bCs/>
          <w:kern w:val="2"/>
          <w:sz w:val="21"/>
          <w:szCs w:val="22"/>
          <w:highlight w:val="none"/>
          <w:lang w:val="en-US" w:eastAsia="zh-CN" w:bidi="ar-SA"/>
        </w:rPr>
      </w:pPr>
      <w:r>
        <w:rPr>
          <w:rFonts w:hint="eastAsia" w:ascii="宋体" w:hAnsi="Courier New" w:eastAsia="宋体" w:cs="Times New Roman"/>
          <w:b w:val="0"/>
          <w:bCs/>
          <w:kern w:val="2"/>
          <w:sz w:val="21"/>
          <w:szCs w:val="22"/>
          <w:highlight w:val="none"/>
          <w:lang w:val="en-US" w:eastAsia="zh-CN" w:bidi="ar-SA"/>
        </w:rPr>
        <w:t>（3）报名截止后，投标方如果少于3家，将作流标处理。</w:t>
      </w:r>
    </w:p>
    <w:p w14:paraId="5ACD18BD">
      <w:pPr>
        <w:numPr>
          <w:ilvl w:val="0"/>
          <w:numId w:val="0"/>
        </w:numPr>
        <w:spacing w:line="480" w:lineRule="exact"/>
        <w:ind w:leftChars="0" w:firstLine="420" w:firstLineChars="200"/>
        <w:rPr>
          <w:rFonts w:hint="default" w:ascii="宋体" w:hAnsi="Courier New" w:eastAsia="宋体" w:cs="Times New Roman"/>
          <w:b w:val="0"/>
          <w:bCs/>
          <w:kern w:val="2"/>
          <w:sz w:val="21"/>
          <w:szCs w:val="22"/>
          <w:highlight w:val="none"/>
          <w:lang w:val="en-US" w:eastAsia="zh-CN" w:bidi="ar-SA"/>
        </w:rPr>
      </w:pPr>
      <w:r>
        <w:rPr>
          <w:rFonts w:hint="eastAsia" w:ascii="宋体" w:hAnsi="Courier New" w:eastAsia="宋体" w:cs="Times New Roman"/>
          <w:b w:val="0"/>
          <w:bCs/>
          <w:kern w:val="2"/>
          <w:sz w:val="21"/>
          <w:szCs w:val="22"/>
          <w:highlight w:val="none"/>
          <w:lang w:val="en-US" w:eastAsia="zh-CN" w:bidi="ar-SA"/>
        </w:rPr>
        <w:t>（4）投标人有下列情形之一，其投标将被视为废标，招标人将严格按照《中华人民共和国招标投标法》及相关法律、法规及规章制度的规定行使权利。投标人给招标人造成损失的，招标人有索赔的权利，投标人应予以赔偿。</w:t>
      </w:r>
      <w:r>
        <w:rPr>
          <w:rFonts w:hint="eastAsia" w:ascii="宋体" w:hAnsi="Courier New" w:eastAsia="宋体" w:cs="Times New Roman"/>
          <w:b w:val="0"/>
          <w:bCs/>
          <w:kern w:val="2"/>
          <w:sz w:val="21"/>
          <w:szCs w:val="22"/>
          <w:highlight w:val="none"/>
          <w:lang w:val="en-US" w:eastAsia="zh-CN" w:bidi="ar-SA"/>
        </w:rPr>
        <w:br w:type="textWrapping"/>
      </w:r>
      <w:r>
        <w:rPr>
          <w:rFonts w:hint="eastAsia" w:ascii="宋体" w:hAnsi="Courier New" w:eastAsia="宋体" w:cs="Times New Roman"/>
          <w:b w:val="0"/>
          <w:bCs/>
          <w:kern w:val="2"/>
          <w:sz w:val="21"/>
          <w:szCs w:val="22"/>
          <w:highlight w:val="none"/>
          <w:lang w:val="en-US" w:eastAsia="zh-CN" w:bidi="ar-SA"/>
        </w:rPr>
        <w:t xml:space="preserve">      1）投标人提供的有关资格、资质证明文件不合格、不真实或提供虚假投标材料；2）投标人在报价有效期内撤回投标；3）在整个评标过程中，投标人有企图影响评标结果公正性的任何活动；4）投标人以任何方式诋毁其他投标人；5）投标人串通投标；6）以他人名义投标或者以其他方式弄虚作假，骗取中标的；7）投标人负责人为同一人或者存在控股、管理关系的不同单位；8）被其他投标人举报经查实属实的；9）法律、法规规定的其他情况。</w:t>
      </w:r>
      <w:r>
        <w:rPr>
          <w:rFonts w:hint="eastAsia" w:ascii="宋体" w:hAnsi="Courier New" w:eastAsia="宋体" w:cs="Times New Roman"/>
          <w:b w:val="0"/>
          <w:bCs/>
          <w:kern w:val="2"/>
          <w:sz w:val="21"/>
          <w:szCs w:val="22"/>
          <w:highlight w:val="none"/>
          <w:lang w:val="en-US" w:eastAsia="zh-CN" w:bidi="ar-SA"/>
        </w:rPr>
        <w:br w:type="textWrapping"/>
      </w:r>
      <w:r>
        <w:rPr>
          <w:rFonts w:hint="eastAsia" w:ascii="宋体" w:hAnsi="Courier New" w:eastAsia="宋体" w:cs="Times New Roman"/>
          <w:b w:val="0"/>
          <w:bCs/>
          <w:kern w:val="2"/>
          <w:sz w:val="21"/>
          <w:szCs w:val="22"/>
          <w:highlight w:val="none"/>
          <w:lang w:val="en-US" w:eastAsia="zh-CN" w:bidi="ar-SA"/>
        </w:rPr>
        <w:t xml:space="preserve">    （5）出现下列情形之一，招标人有权否决所有投标人的投标，并终止招标：</w:t>
      </w:r>
      <w:r>
        <w:rPr>
          <w:rFonts w:hint="eastAsia" w:ascii="宋体" w:hAnsi="Courier New" w:eastAsia="宋体" w:cs="Times New Roman"/>
          <w:b w:val="0"/>
          <w:bCs/>
          <w:kern w:val="2"/>
          <w:sz w:val="21"/>
          <w:szCs w:val="22"/>
          <w:highlight w:val="none"/>
          <w:lang w:val="en-US" w:eastAsia="zh-CN" w:bidi="ar-SA"/>
        </w:rPr>
        <w:br w:type="textWrapping"/>
      </w:r>
      <w:r>
        <w:rPr>
          <w:rFonts w:hint="eastAsia" w:ascii="宋体" w:hAnsi="Courier New" w:eastAsia="宋体" w:cs="Times New Roman"/>
          <w:b w:val="0"/>
          <w:bCs/>
          <w:kern w:val="2"/>
          <w:sz w:val="21"/>
          <w:szCs w:val="22"/>
          <w:highlight w:val="none"/>
          <w:lang w:val="en-US" w:eastAsia="zh-CN" w:bidi="ar-SA"/>
        </w:rPr>
        <w:t xml:space="preserve">      1）出现影响采购公正的违法、违规行为的；2）评标委员会经评审，认为所有投标都不符合招标文件要求的；3）因重大变故，采购任务取消的；4）评标委员会认为应当终止招标的其他情形。</w:t>
      </w:r>
    </w:p>
    <w:bookmarkEnd w:id="4"/>
    <w:bookmarkEnd w:id="5"/>
    <w:bookmarkEnd w:id="6"/>
    <w:p w14:paraId="64249F81">
      <w:pPr>
        <w:pStyle w:val="6"/>
        <w:spacing w:line="360" w:lineRule="auto"/>
        <w:ind w:firstLine="422" w:firstLineChars="200"/>
        <w:rPr>
          <w:rFonts w:hint="eastAsia"/>
          <w:b/>
          <w:szCs w:val="22"/>
        </w:rPr>
      </w:pPr>
      <w:r>
        <w:rPr>
          <w:rFonts w:hint="eastAsia"/>
          <w:b/>
          <w:szCs w:val="22"/>
          <w:lang w:val="en-US" w:eastAsia="zh-CN"/>
        </w:rPr>
        <w:t>8</w:t>
      </w:r>
      <w:r>
        <w:rPr>
          <w:rFonts w:hint="eastAsia"/>
          <w:b/>
          <w:szCs w:val="22"/>
        </w:rPr>
        <w:t>、评标</w:t>
      </w:r>
    </w:p>
    <w:p w14:paraId="6B011260">
      <w:pPr>
        <w:pStyle w:val="6"/>
        <w:numPr>
          <w:ilvl w:val="0"/>
          <w:numId w:val="0"/>
        </w:numPr>
        <w:spacing w:line="360" w:lineRule="auto"/>
        <w:ind w:firstLine="420" w:firstLineChars="200"/>
        <w:rPr>
          <w:rFonts w:hint="eastAsia"/>
          <w:b w:val="0"/>
          <w:bCs/>
          <w:szCs w:val="22"/>
        </w:rPr>
      </w:pPr>
      <w:r>
        <w:rPr>
          <w:rFonts w:hint="eastAsia"/>
          <w:b w:val="0"/>
          <w:bCs/>
          <w:szCs w:val="22"/>
        </w:rPr>
        <w:t>（1）</w:t>
      </w:r>
      <w:r>
        <w:rPr>
          <w:rFonts w:hint="eastAsia"/>
          <w:b w:val="0"/>
          <w:bCs/>
          <w:szCs w:val="22"/>
          <w:highlight w:val="none"/>
          <w:lang w:val="en-US" w:eastAsia="zh-CN"/>
        </w:rPr>
        <w:t>原则上每包次总价最高价的投标方作为一标，为拟推荐中标方。不承诺最高价中标，对未中标单位不做任何解释。如招标结果未达招标方预期，</w:t>
      </w:r>
      <w:r>
        <w:rPr>
          <w:rFonts w:hint="eastAsia"/>
          <w:b w:val="0"/>
          <w:bCs/>
          <w:strike w:val="0"/>
          <w:dstrike w:val="0"/>
          <w:szCs w:val="22"/>
          <w:highlight w:val="none"/>
          <w:lang w:val="en-US" w:eastAsia="zh-CN"/>
        </w:rPr>
        <w:t>招标方有权进行废标并重新组织。</w:t>
      </w:r>
    </w:p>
    <w:p w14:paraId="12171753">
      <w:pPr>
        <w:pStyle w:val="6"/>
        <w:spacing w:line="360" w:lineRule="auto"/>
        <w:ind w:firstLine="420" w:firstLineChars="200"/>
        <w:rPr>
          <w:b w:val="0"/>
          <w:bCs/>
        </w:rPr>
      </w:pPr>
      <w:r>
        <w:rPr>
          <w:rFonts w:hint="eastAsia" w:hAnsi="宋体" w:cs="宋体"/>
          <w:b w:val="0"/>
          <w:bCs/>
          <w:szCs w:val="21"/>
          <w:lang w:eastAsia="zh-CN"/>
        </w:rPr>
        <w:t>（</w:t>
      </w:r>
      <w:r>
        <w:rPr>
          <w:rFonts w:hint="eastAsia" w:hAnsi="宋体" w:cs="宋体"/>
          <w:b w:val="0"/>
          <w:bCs/>
          <w:szCs w:val="21"/>
          <w:lang w:val="en-US" w:eastAsia="zh-CN"/>
        </w:rPr>
        <w:t>2</w:t>
      </w:r>
      <w:r>
        <w:rPr>
          <w:rFonts w:hint="eastAsia" w:hAnsi="宋体" w:cs="宋体"/>
          <w:b w:val="0"/>
          <w:bCs/>
          <w:szCs w:val="21"/>
          <w:lang w:eastAsia="zh-CN"/>
        </w:rPr>
        <w:t>）</w:t>
      </w:r>
      <w:r>
        <w:rPr>
          <w:rFonts w:hint="eastAsia" w:hAnsi="宋体" w:cs="宋体"/>
          <w:b w:val="0"/>
          <w:bCs/>
          <w:szCs w:val="21"/>
        </w:rPr>
        <w:t>投标方承诺所报价格真实有效且具有法律效力</w:t>
      </w:r>
      <w:r>
        <w:rPr>
          <w:rFonts w:hint="eastAsia"/>
          <w:b w:val="0"/>
          <w:bCs/>
          <w:szCs w:val="22"/>
        </w:rPr>
        <w:t>。</w:t>
      </w:r>
      <w:r>
        <w:rPr>
          <w:rFonts w:hint="eastAsia" w:hAnsi="宋体" w:cs="宋体"/>
          <w:b w:val="0"/>
          <w:bCs/>
          <w:szCs w:val="21"/>
        </w:rPr>
        <w:t>招标报价整个合同期内有效，合同期内无论何种情况选定为中标方的，均需按照投标价格执行，否则视为弃标，列入黑名单。</w:t>
      </w:r>
    </w:p>
    <w:p w14:paraId="3A311519">
      <w:pPr>
        <w:pStyle w:val="6"/>
        <w:spacing w:line="360" w:lineRule="auto"/>
        <w:ind w:firstLine="420" w:firstLineChars="200"/>
        <w:rPr>
          <w:rFonts w:hint="eastAsia" w:hAnsi="宋体" w:cs="宋体"/>
          <w:b w:val="0"/>
          <w:bCs/>
          <w:szCs w:val="21"/>
          <w:highlight w:val="none"/>
          <w:lang w:val="en-US" w:eastAsia="zh-CN"/>
        </w:rPr>
      </w:pPr>
      <w:r>
        <w:rPr>
          <w:rFonts w:hint="eastAsia" w:hAnsi="宋体" w:cs="宋体"/>
          <w:b w:val="0"/>
          <w:bCs/>
          <w:szCs w:val="21"/>
          <w:highlight w:val="none"/>
          <w:lang w:eastAsia="zh-CN"/>
        </w:rPr>
        <w:t>（</w:t>
      </w:r>
      <w:r>
        <w:rPr>
          <w:rFonts w:hint="eastAsia" w:hAnsi="宋体" w:cs="宋体"/>
          <w:b w:val="0"/>
          <w:bCs/>
          <w:szCs w:val="21"/>
          <w:highlight w:val="none"/>
          <w:lang w:val="en-US" w:eastAsia="zh-CN"/>
        </w:rPr>
        <w:t>3</w:t>
      </w:r>
      <w:r>
        <w:rPr>
          <w:rFonts w:hint="eastAsia" w:hAnsi="宋体" w:cs="宋体"/>
          <w:b w:val="0"/>
          <w:bCs/>
          <w:szCs w:val="21"/>
          <w:highlight w:val="none"/>
          <w:lang w:eastAsia="zh-CN"/>
        </w:rPr>
        <w:t>）</w:t>
      </w:r>
      <w:r>
        <w:rPr>
          <w:rFonts w:hint="eastAsia" w:hAnsi="宋体" w:cs="宋体"/>
          <w:b w:val="0"/>
          <w:bCs/>
          <w:szCs w:val="21"/>
          <w:highlight w:val="none"/>
          <w:lang w:val="en-US" w:eastAsia="zh-CN"/>
        </w:rPr>
        <w:t>招标过程中发生弃标，扣除弃标单位全部投标保证金，列入黑名单。并视情况顺延或重新组织招标。</w:t>
      </w:r>
    </w:p>
    <w:p w14:paraId="1489EF9E">
      <w:pPr>
        <w:spacing w:line="300" w:lineRule="auto"/>
        <w:ind w:firstLine="420" w:firstLineChars="200"/>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kern w:val="2"/>
          <w:sz w:val="21"/>
          <w:szCs w:val="21"/>
          <w:lang w:val="en-US" w:eastAsia="zh-CN" w:bidi="ar-SA"/>
        </w:rPr>
        <w:t>（4）招标人对参与的投标方进行投标过程评价，对恶意投标、恶意投诉、放弃顺延中标资格</w:t>
      </w:r>
      <w:r>
        <w:rPr>
          <w:rFonts w:hint="eastAsia" w:ascii="宋体" w:hAnsi="宋体" w:eastAsia="宋体" w:cs="宋体"/>
          <w:b w:val="0"/>
          <w:bCs w:val="0"/>
          <w:kern w:val="2"/>
          <w:sz w:val="21"/>
          <w:szCs w:val="21"/>
          <w:lang w:val="en-US" w:eastAsia="zh-CN" w:bidi="ar-SA"/>
        </w:rPr>
        <w:t>、沟通态度恶劣等情况，进行记录并评价，列入黑名单。</w:t>
      </w:r>
    </w:p>
    <w:p w14:paraId="64D2986B">
      <w:pPr>
        <w:spacing w:line="360" w:lineRule="auto"/>
        <w:ind w:firstLine="420" w:firstLineChars="200"/>
        <w:rPr>
          <w:rFonts w:hint="eastAsia"/>
          <w:color w:val="000000"/>
          <w:szCs w:val="22"/>
          <w:highlight w:val="none"/>
        </w:rPr>
      </w:pPr>
      <w:r>
        <w:rPr>
          <w:rFonts w:hint="eastAsia"/>
          <w:color w:val="000000"/>
          <w:highlight w:val="none"/>
        </w:rPr>
        <w:t>（</w:t>
      </w:r>
      <w:r>
        <w:rPr>
          <w:rFonts w:hint="eastAsia"/>
          <w:color w:val="000000"/>
          <w:highlight w:val="none"/>
          <w:lang w:val="en-US" w:eastAsia="zh-CN"/>
        </w:rPr>
        <w:t>5</w:t>
      </w:r>
      <w:r>
        <w:rPr>
          <w:rFonts w:hint="eastAsia"/>
          <w:color w:val="000000"/>
          <w:highlight w:val="none"/>
        </w:rPr>
        <w:t>）</w:t>
      </w:r>
      <w:r>
        <w:rPr>
          <w:rFonts w:hint="eastAsia"/>
          <w:color w:val="FF0000"/>
          <w:highlight w:val="none"/>
          <w:lang w:val="en-US" w:eastAsia="zh-CN"/>
        </w:rPr>
        <w:t>如需价格波动的物资，参照本条款执行</w:t>
      </w:r>
      <w:r>
        <w:rPr>
          <w:rFonts w:hint="eastAsia"/>
          <w:color w:val="000000"/>
          <w:highlight w:val="none"/>
          <w:lang w:val="en-US" w:eastAsia="zh-CN"/>
        </w:rPr>
        <w:t>：</w:t>
      </w:r>
      <w:r>
        <w:rPr>
          <w:rFonts w:hint="eastAsia"/>
          <w:color w:val="000000"/>
          <w:szCs w:val="22"/>
          <w:highlight w:val="none"/>
        </w:rPr>
        <w:t>选择</w:t>
      </w:r>
      <w:r>
        <w:rPr>
          <w:rFonts w:hint="eastAsia"/>
          <w:color w:val="000000"/>
          <w:szCs w:val="22"/>
          <w:highlight w:val="none"/>
          <w:lang w:val="en-US" w:eastAsia="zh-CN"/>
        </w:rPr>
        <w:t>富宝资讯网发布的相关</w:t>
      </w:r>
      <w:r>
        <w:rPr>
          <w:rFonts w:hint="eastAsia"/>
          <w:color w:val="000000"/>
          <w:szCs w:val="22"/>
          <w:highlight w:val="none"/>
        </w:rPr>
        <w:t>价格作为市场参考价格。合同期内执行价格根据市场价格变化进行相应调整，如因网站问题导致市场价错误或停止更新，乙方同意甲方有权在合同期内更换参考网站，并同意调价规则及市场价格以甲方解释为准。</w:t>
      </w:r>
    </w:p>
    <w:p w14:paraId="42C44B17">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highlight w:val="none"/>
        </w:rPr>
        <w:t>调价规则：参考上周一到周五的具体市场价，计算周平均价格。以周平均价格除以招标前5天（当天的不算）的市场价格计算波动比例（周六、周日</w:t>
      </w:r>
      <w:r>
        <w:rPr>
          <w:rFonts w:hint="eastAsia"/>
          <w:highlight w:val="none"/>
          <w:lang w:eastAsia="zh-CN"/>
        </w:rPr>
        <w:t>、</w:t>
      </w:r>
      <w:r>
        <w:rPr>
          <w:rFonts w:hint="eastAsia"/>
          <w:highlight w:val="none"/>
        </w:rPr>
        <w:t>法定节假日不计在内）。</w:t>
      </w:r>
      <w:r>
        <w:rPr>
          <w:rFonts w:hint="eastAsia"/>
          <w:highlight w:val="none"/>
          <w:lang w:val="en-US" w:eastAsia="zh-CN"/>
        </w:rPr>
        <w:t>原则上</w:t>
      </w:r>
      <w:r>
        <w:rPr>
          <w:rFonts w:hint="eastAsia"/>
          <w:highlight w:val="none"/>
        </w:rPr>
        <w:t>每周</w:t>
      </w:r>
      <w:r>
        <w:rPr>
          <w:rFonts w:hint="eastAsia"/>
          <w:highlight w:val="none"/>
          <w:lang w:val="en-US" w:eastAsia="zh-CN"/>
        </w:rPr>
        <w:t>一</w:t>
      </w:r>
      <w:r>
        <w:rPr>
          <w:rFonts w:hint="eastAsia"/>
          <w:highlight w:val="none"/>
        </w:rPr>
        <w:t>发起调价审批，周</w:t>
      </w:r>
      <w:r>
        <w:rPr>
          <w:rFonts w:hint="eastAsia"/>
          <w:highlight w:val="none"/>
          <w:lang w:val="en-US" w:eastAsia="zh-CN"/>
        </w:rPr>
        <w:t>二0</w:t>
      </w:r>
      <w:r>
        <w:rPr>
          <w:rFonts w:hint="eastAsia"/>
          <w:highlight w:val="none"/>
        </w:rPr>
        <w:t>点开始执</w:t>
      </w:r>
      <w:r>
        <w:rPr>
          <w:rFonts w:hint="eastAsia" w:ascii="Times New Roman" w:hAnsi="Times New Roman" w:eastAsia="宋体" w:cs="Times New Roman"/>
          <w:highlight w:val="none"/>
        </w:rPr>
        <w:t>行</w:t>
      </w:r>
      <w:r>
        <w:rPr>
          <w:rFonts w:hint="eastAsia" w:ascii="Times New Roman" w:hAnsi="Times New Roman" w:eastAsia="宋体" w:cs="Times New Roman"/>
          <w:color w:val="auto"/>
          <w:highlight w:val="none"/>
        </w:rPr>
        <w:t>。如因调价申请未审批通过，乙方同意按e采通系统价格执行。</w:t>
      </w:r>
    </w:p>
    <w:tbl>
      <w:tblPr>
        <w:tblStyle w:val="1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
        <w:gridCol w:w="1645"/>
        <w:gridCol w:w="1984"/>
        <w:gridCol w:w="1276"/>
        <w:gridCol w:w="1418"/>
        <w:gridCol w:w="1417"/>
      </w:tblGrid>
      <w:tr w14:paraId="5ACD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noWrap w:val="0"/>
            <w:vAlign w:val="top"/>
          </w:tcPr>
          <w:p w14:paraId="2836417B">
            <w:pPr>
              <w:spacing w:line="360" w:lineRule="auto"/>
              <w:jc w:val="center"/>
              <w:rPr>
                <w:sz w:val="24"/>
                <w:szCs w:val="24"/>
              </w:rPr>
            </w:pPr>
          </w:p>
        </w:tc>
        <w:tc>
          <w:tcPr>
            <w:tcW w:w="1645" w:type="dxa"/>
            <w:noWrap w:val="0"/>
            <w:vAlign w:val="top"/>
          </w:tcPr>
          <w:p w14:paraId="4CF6A692">
            <w:pPr>
              <w:spacing w:line="360" w:lineRule="auto"/>
              <w:jc w:val="center"/>
              <w:rPr>
                <w:sz w:val="24"/>
                <w:szCs w:val="24"/>
              </w:rPr>
            </w:pPr>
            <w:r>
              <w:rPr>
                <w:rFonts w:hint="eastAsia"/>
                <w:sz w:val="24"/>
                <w:szCs w:val="24"/>
              </w:rPr>
              <w:t>开标市场价</w:t>
            </w:r>
          </w:p>
        </w:tc>
        <w:tc>
          <w:tcPr>
            <w:tcW w:w="1984" w:type="dxa"/>
            <w:noWrap w:val="0"/>
            <w:vAlign w:val="top"/>
          </w:tcPr>
          <w:p w14:paraId="1683A291">
            <w:pPr>
              <w:spacing w:line="360" w:lineRule="auto"/>
              <w:jc w:val="center"/>
              <w:rPr>
                <w:sz w:val="24"/>
                <w:szCs w:val="24"/>
              </w:rPr>
            </w:pPr>
            <w:r>
              <w:rPr>
                <w:rFonts w:hint="eastAsia"/>
                <w:sz w:val="24"/>
                <w:szCs w:val="24"/>
              </w:rPr>
              <w:t>上周市场价平均</w:t>
            </w:r>
          </w:p>
        </w:tc>
        <w:tc>
          <w:tcPr>
            <w:tcW w:w="1276" w:type="dxa"/>
            <w:noWrap w:val="0"/>
            <w:vAlign w:val="top"/>
          </w:tcPr>
          <w:p w14:paraId="5FB1589B">
            <w:pPr>
              <w:spacing w:line="360" w:lineRule="auto"/>
              <w:jc w:val="center"/>
              <w:rPr>
                <w:sz w:val="24"/>
                <w:szCs w:val="24"/>
              </w:rPr>
            </w:pPr>
            <w:r>
              <w:rPr>
                <w:rFonts w:hint="eastAsia"/>
                <w:sz w:val="24"/>
                <w:szCs w:val="24"/>
              </w:rPr>
              <w:t>波动比例</w:t>
            </w:r>
          </w:p>
        </w:tc>
        <w:tc>
          <w:tcPr>
            <w:tcW w:w="1418" w:type="dxa"/>
            <w:noWrap w:val="0"/>
            <w:vAlign w:val="top"/>
          </w:tcPr>
          <w:p w14:paraId="2644829B">
            <w:pPr>
              <w:spacing w:line="360" w:lineRule="auto"/>
              <w:jc w:val="center"/>
              <w:rPr>
                <w:sz w:val="24"/>
                <w:szCs w:val="24"/>
              </w:rPr>
            </w:pPr>
            <w:r>
              <w:rPr>
                <w:rFonts w:hint="eastAsia"/>
                <w:sz w:val="24"/>
                <w:szCs w:val="24"/>
              </w:rPr>
              <w:t>中标价格</w:t>
            </w:r>
          </w:p>
        </w:tc>
        <w:tc>
          <w:tcPr>
            <w:tcW w:w="1417" w:type="dxa"/>
            <w:noWrap w:val="0"/>
            <w:vAlign w:val="top"/>
          </w:tcPr>
          <w:p w14:paraId="1E76DF67">
            <w:pPr>
              <w:spacing w:line="360" w:lineRule="auto"/>
              <w:jc w:val="center"/>
              <w:rPr>
                <w:sz w:val="24"/>
                <w:szCs w:val="24"/>
              </w:rPr>
            </w:pPr>
            <w:r>
              <w:rPr>
                <w:rFonts w:hint="eastAsia"/>
                <w:sz w:val="24"/>
                <w:szCs w:val="24"/>
              </w:rPr>
              <w:t>执行价格</w:t>
            </w:r>
          </w:p>
        </w:tc>
      </w:tr>
      <w:tr w14:paraId="011B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noWrap w:val="0"/>
            <w:vAlign w:val="top"/>
          </w:tcPr>
          <w:p w14:paraId="360BEDC4">
            <w:pPr>
              <w:spacing w:line="360" w:lineRule="auto"/>
              <w:jc w:val="center"/>
              <w:rPr>
                <w:sz w:val="24"/>
                <w:szCs w:val="24"/>
              </w:rPr>
            </w:pPr>
            <w:r>
              <w:rPr>
                <w:rFonts w:hint="eastAsia"/>
                <w:sz w:val="24"/>
                <w:szCs w:val="24"/>
              </w:rPr>
              <w:t>公式</w:t>
            </w:r>
          </w:p>
        </w:tc>
        <w:tc>
          <w:tcPr>
            <w:tcW w:w="1645" w:type="dxa"/>
            <w:noWrap w:val="0"/>
            <w:vAlign w:val="top"/>
          </w:tcPr>
          <w:p w14:paraId="779913EB">
            <w:pPr>
              <w:spacing w:line="360" w:lineRule="auto"/>
              <w:jc w:val="center"/>
              <w:rPr>
                <w:sz w:val="24"/>
                <w:szCs w:val="24"/>
              </w:rPr>
            </w:pPr>
            <w:r>
              <w:rPr>
                <w:rFonts w:hint="eastAsia"/>
                <w:sz w:val="24"/>
                <w:szCs w:val="24"/>
              </w:rPr>
              <w:t>a</w:t>
            </w:r>
          </w:p>
        </w:tc>
        <w:tc>
          <w:tcPr>
            <w:tcW w:w="1984" w:type="dxa"/>
            <w:noWrap w:val="0"/>
            <w:vAlign w:val="top"/>
          </w:tcPr>
          <w:p w14:paraId="0A6D01EE">
            <w:pPr>
              <w:spacing w:line="360" w:lineRule="auto"/>
              <w:jc w:val="center"/>
              <w:rPr>
                <w:sz w:val="24"/>
                <w:szCs w:val="24"/>
              </w:rPr>
            </w:pPr>
            <w:r>
              <w:rPr>
                <w:rFonts w:hint="eastAsia"/>
                <w:sz w:val="24"/>
                <w:szCs w:val="24"/>
              </w:rPr>
              <w:t>b</w:t>
            </w:r>
          </w:p>
        </w:tc>
        <w:tc>
          <w:tcPr>
            <w:tcW w:w="1276" w:type="dxa"/>
            <w:noWrap w:val="0"/>
            <w:vAlign w:val="top"/>
          </w:tcPr>
          <w:p w14:paraId="5C6F874C">
            <w:pPr>
              <w:spacing w:line="360" w:lineRule="auto"/>
              <w:jc w:val="center"/>
              <w:rPr>
                <w:sz w:val="24"/>
                <w:szCs w:val="24"/>
              </w:rPr>
            </w:pPr>
            <w:r>
              <w:rPr>
                <w:rFonts w:hint="eastAsia"/>
                <w:sz w:val="24"/>
                <w:szCs w:val="24"/>
              </w:rPr>
              <w:t>b</w:t>
            </w:r>
            <w:r>
              <w:rPr>
                <w:sz w:val="24"/>
                <w:szCs w:val="24"/>
              </w:rPr>
              <w:t>/a</w:t>
            </w:r>
            <w:r>
              <w:rPr>
                <w:rFonts w:hint="eastAsia"/>
                <w:sz w:val="24"/>
                <w:szCs w:val="24"/>
              </w:rPr>
              <w:t>=c</w:t>
            </w:r>
          </w:p>
        </w:tc>
        <w:tc>
          <w:tcPr>
            <w:tcW w:w="1418" w:type="dxa"/>
            <w:noWrap w:val="0"/>
            <w:vAlign w:val="top"/>
          </w:tcPr>
          <w:p w14:paraId="0DB3CF09">
            <w:pPr>
              <w:spacing w:line="360" w:lineRule="auto"/>
              <w:jc w:val="center"/>
              <w:rPr>
                <w:sz w:val="24"/>
                <w:szCs w:val="24"/>
              </w:rPr>
            </w:pPr>
            <w:r>
              <w:rPr>
                <w:rFonts w:hint="eastAsia"/>
                <w:sz w:val="24"/>
                <w:szCs w:val="24"/>
              </w:rPr>
              <w:t>X</w:t>
            </w:r>
          </w:p>
        </w:tc>
        <w:tc>
          <w:tcPr>
            <w:tcW w:w="1417" w:type="dxa"/>
            <w:noWrap w:val="0"/>
            <w:vAlign w:val="top"/>
          </w:tcPr>
          <w:p w14:paraId="5C7BBB54">
            <w:pPr>
              <w:spacing w:line="360" w:lineRule="auto"/>
              <w:jc w:val="center"/>
              <w:rPr>
                <w:sz w:val="24"/>
                <w:szCs w:val="24"/>
              </w:rPr>
            </w:pPr>
            <w:r>
              <w:rPr>
                <w:rFonts w:hint="eastAsia"/>
                <w:sz w:val="24"/>
                <w:szCs w:val="24"/>
              </w:rPr>
              <w:t>X*c</w:t>
            </w:r>
          </w:p>
        </w:tc>
      </w:tr>
      <w:tr w14:paraId="7029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noWrap w:val="0"/>
            <w:vAlign w:val="top"/>
          </w:tcPr>
          <w:p w14:paraId="005716E7">
            <w:pPr>
              <w:spacing w:line="360" w:lineRule="auto"/>
              <w:jc w:val="center"/>
              <w:rPr>
                <w:sz w:val="24"/>
                <w:szCs w:val="24"/>
              </w:rPr>
            </w:pPr>
            <w:r>
              <w:rPr>
                <w:rFonts w:hint="eastAsia"/>
                <w:sz w:val="24"/>
                <w:szCs w:val="24"/>
              </w:rPr>
              <w:t>举例</w:t>
            </w:r>
          </w:p>
        </w:tc>
        <w:tc>
          <w:tcPr>
            <w:tcW w:w="1645" w:type="dxa"/>
            <w:noWrap w:val="0"/>
            <w:vAlign w:val="top"/>
          </w:tcPr>
          <w:p w14:paraId="364DCDB2">
            <w:pPr>
              <w:spacing w:line="360" w:lineRule="auto"/>
              <w:jc w:val="center"/>
              <w:rPr>
                <w:sz w:val="24"/>
                <w:szCs w:val="24"/>
              </w:rPr>
            </w:pPr>
            <w:r>
              <w:rPr>
                <w:sz w:val="24"/>
                <w:szCs w:val="24"/>
              </w:rPr>
              <w:t>1000</w:t>
            </w:r>
          </w:p>
        </w:tc>
        <w:tc>
          <w:tcPr>
            <w:tcW w:w="1984" w:type="dxa"/>
            <w:noWrap w:val="0"/>
            <w:vAlign w:val="top"/>
          </w:tcPr>
          <w:p w14:paraId="402E239A">
            <w:pPr>
              <w:spacing w:line="360" w:lineRule="auto"/>
              <w:jc w:val="center"/>
              <w:rPr>
                <w:sz w:val="24"/>
                <w:szCs w:val="24"/>
              </w:rPr>
            </w:pPr>
            <w:r>
              <w:rPr>
                <w:rFonts w:hint="eastAsia"/>
                <w:sz w:val="24"/>
                <w:szCs w:val="24"/>
              </w:rPr>
              <w:t>1</w:t>
            </w:r>
            <w:r>
              <w:rPr>
                <w:sz w:val="24"/>
                <w:szCs w:val="24"/>
              </w:rPr>
              <w:t>050</w:t>
            </w:r>
          </w:p>
        </w:tc>
        <w:tc>
          <w:tcPr>
            <w:tcW w:w="1276" w:type="dxa"/>
            <w:noWrap w:val="0"/>
            <w:vAlign w:val="top"/>
          </w:tcPr>
          <w:p w14:paraId="7952EA6B">
            <w:pPr>
              <w:spacing w:line="360" w:lineRule="auto"/>
              <w:jc w:val="center"/>
              <w:rPr>
                <w:sz w:val="24"/>
                <w:szCs w:val="24"/>
              </w:rPr>
            </w:pPr>
            <w:r>
              <w:rPr>
                <w:rFonts w:hint="eastAsia"/>
                <w:sz w:val="24"/>
                <w:szCs w:val="24"/>
              </w:rPr>
              <w:t>1</w:t>
            </w:r>
            <w:r>
              <w:rPr>
                <w:sz w:val="24"/>
                <w:szCs w:val="24"/>
              </w:rPr>
              <w:t>.05</w:t>
            </w:r>
          </w:p>
        </w:tc>
        <w:tc>
          <w:tcPr>
            <w:tcW w:w="1418" w:type="dxa"/>
            <w:noWrap w:val="0"/>
            <w:vAlign w:val="top"/>
          </w:tcPr>
          <w:p w14:paraId="4866BEF4">
            <w:pPr>
              <w:spacing w:line="360" w:lineRule="auto"/>
              <w:jc w:val="center"/>
              <w:rPr>
                <w:sz w:val="24"/>
                <w:szCs w:val="24"/>
              </w:rPr>
            </w:pPr>
            <w:r>
              <w:rPr>
                <w:rFonts w:hint="eastAsia"/>
                <w:sz w:val="24"/>
                <w:szCs w:val="24"/>
              </w:rPr>
              <w:t>1</w:t>
            </w:r>
            <w:r>
              <w:rPr>
                <w:sz w:val="24"/>
                <w:szCs w:val="24"/>
              </w:rPr>
              <w:t>100</w:t>
            </w:r>
          </w:p>
        </w:tc>
        <w:tc>
          <w:tcPr>
            <w:tcW w:w="1417" w:type="dxa"/>
            <w:noWrap w:val="0"/>
            <w:vAlign w:val="top"/>
          </w:tcPr>
          <w:p w14:paraId="4A35FE6A">
            <w:pPr>
              <w:spacing w:line="360" w:lineRule="auto"/>
              <w:jc w:val="center"/>
              <w:rPr>
                <w:sz w:val="24"/>
                <w:szCs w:val="24"/>
              </w:rPr>
            </w:pPr>
            <w:r>
              <w:rPr>
                <w:rFonts w:hint="eastAsia"/>
                <w:sz w:val="24"/>
                <w:szCs w:val="24"/>
              </w:rPr>
              <w:t>1</w:t>
            </w:r>
            <w:r>
              <w:rPr>
                <w:sz w:val="24"/>
                <w:szCs w:val="24"/>
              </w:rPr>
              <w:t>155</w:t>
            </w:r>
          </w:p>
        </w:tc>
      </w:tr>
    </w:tbl>
    <w:p w14:paraId="1B0FFD9D">
      <w:pPr>
        <w:spacing w:line="360" w:lineRule="auto"/>
        <w:ind w:firstLine="420" w:firstLineChars="200"/>
        <w:rPr>
          <w:color w:val="auto"/>
        </w:rPr>
      </w:pPr>
      <w:r>
        <w:rPr>
          <w:rFonts w:hint="eastAsia"/>
          <w:color w:val="auto"/>
        </w:rPr>
        <w:t>当市场波动幅度大于2</w:t>
      </w:r>
      <w:r>
        <w:rPr>
          <w:color w:val="auto"/>
        </w:rPr>
        <w:t>0</w:t>
      </w:r>
      <w:r>
        <w:rPr>
          <w:rFonts w:hint="eastAsia"/>
          <w:color w:val="auto"/>
        </w:rPr>
        <w:t>%时，可视情况重新组织招标或谈价。</w:t>
      </w:r>
    </w:p>
    <w:p w14:paraId="28F2D139">
      <w:pPr>
        <w:spacing w:line="300" w:lineRule="auto"/>
        <w:ind w:firstLine="420" w:firstLineChars="200"/>
        <w:jc w:val="left"/>
        <w:rPr>
          <w:rFonts w:hint="eastAsia" w:ascii="宋体" w:hAnsi="宋体" w:eastAsia="宋体" w:cs="宋体"/>
          <w:b w:val="0"/>
          <w:bCs w:val="0"/>
          <w:kern w:val="2"/>
          <w:sz w:val="21"/>
          <w:szCs w:val="21"/>
          <w:lang w:val="en-US" w:eastAsia="zh-CN" w:bidi="ar-SA"/>
        </w:rPr>
      </w:pPr>
    </w:p>
    <w:p w14:paraId="4065CAF3">
      <w:pPr>
        <w:pStyle w:val="6"/>
        <w:spacing w:line="360" w:lineRule="auto"/>
        <w:rPr>
          <w:rFonts w:hint="eastAsia" w:ascii="黑体" w:eastAsia="黑体"/>
          <w:b/>
          <w:bCs/>
          <w:sz w:val="28"/>
          <w:szCs w:val="22"/>
        </w:rPr>
      </w:pPr>
      <w:r>
        <w:rPr>
          <w:rFonts w:hint="eastAsia" w:ascii="黑体" w:eastAsia="黑体"/>
          <w:b/>
          <w:bCs/>
          <w:sz w:val="28"/>
          <w:szCs w:val="22"/>
          <w:lang w:val="en-US" w:eastAsia="zh-CN"/>
        </w:rPr>
        <w:t>五</w:t>
      </w:r>
      <w:r>
        <w:rPr>
          <w:rFonts w:hint="eastAsia" w:ascii="黑体" w:eastAsia="黑体"/>
          <w:b/>
          <w:bCs/>
          <w:sz w:val="28"/>
          <w:szCs w:val="22"/>
        </w:rPr>
        <w:t>、合同签订</w:t>
      </w:r>
    </w:p>
    <w:p w14:paraId="0911764C">
      <w:pPr>
        <w:spacing w:line="520" w:lineRule="exact"/>
        <w:ind w:right="2" w:firstLine="420" w:firstLineChars="200"/>
        <w:rPr>
          <w:rFonts w:hint="eastAsia" w:ascii="宋体" w:hAnsi="Courier New"/>
        </w:rPr>
      </w:pPr>
      <w:r>
        <w:rPr>
          <w:rFonts w:hint="eastAsia" w:ascii="宋体" w:hAnsi="Courier New"/>
        </w:rPr>
        <w:t>1、招标方根据</w:t>
      </w:r>
      <w:r>
        <w:rPr>
          <w:rFonts w:hint="eastAsia" w:ascii="宋体" w:hAnsi="Courier New"/>
          <w:lang w:val="en-US" w:eastAsia="zh-CN"/>
        </w:rPr>
        <w:t>竞</w:t>
      </w:r>
      <w:r>
        <w:rPr>
          <w:rFonts w:hint="eastAsia" w:ascii="宋体" w:hAnsi="Courier New"/>
        </w:rPr>
        <w:t>价结果确定中标方，向中标方发中标通知，如招标结果未达到预期，招标方有权重新组织询价。</w:t>
      </w:r>
    </w:p>
    <w:p w14:paraId="7F215689">
      <w:pPr>
        <w:spacing w:line="520" w:lineRule="exact"/>
        <w:ind w:firstLine="420" w:firstLineChars="200"/>
        <w:rPr>
          <w:rFonts w:ascii="宋体" w:hAnsi="Courier New"/>
          <w:color w:val="000000"/>
        </w:rPr>
      </w:pPr>
      <w:r>
        <w:rPr>
          <w:rFonts w:hint="eastAsia" w:ascii="宋体" w:hAnsi="Courier New"/>
        </w:rPr>
        <w:t>2、</w:t>
      </w:r>
      <w:r>
        <w:rPr>
          <w:rFonts w:hint="eastAsia" w:ascii="Times New Roman" w:hAnsi="Times New Roman" w:eastAsia="宋体" w:cs="Times New Roman"/>
        </w:rPr>
        <w:t>合同以中标单位与招标人或其关联公司最终签订的合同约定为准</w:t>
      </w:r>
      <w:r>
        <w:rPr>
          <w:rFonts w:hint="eastAsia" w:ascii="Times New Roman" w:hAnsi="Times New Roman" w:eastAsia="宋体" w:cs="Times New Roman"/>
          <w:lang w:eastAsia="zh-CN"/>
        </w:rPr>
        <w:t>。</w:t>
      </w:r>
      <w:r>
        <w:rPr>
          <w:rFonts w:hint="eastAsia" w:ascii="宋体" w:hAnsi="Courier New"/>
          <w:color w:val="000000"/>
        </w:rPr>
        <w:t>根据项目情况，我公司有权决定是否要求中标方缴纳一定数额的履约保证金。中标方的投标文件及其澄清文件和双方共同谈判所达成的协议等，均为签订合同的依据。</w:t>
      </w:r>
    </w:p>
    <w:p w14:paraId="75289E22">
      <w:pPr>
        <w:spacing w:line="520" w:lineRule="exact"/>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rPr>
        <w:t>3、中标方收到招标人或其关联公司通知后7个工作日内完成签订合同。</w:t>
      </w:r>
      <w:r>
        <w:rPr>
          <w:rFonts w:hint="eastAsia" w:ascii="Times New Roman" w:hAnsi="Times New Roman" w:eastAsia="宋体" w:cs="Times New Roman"/>
          <w:lang w:val="en-US" w:eastAsia="zh-CN"/>
        </w:rPr>
        <w:t>无正当理由不提供签约资料的，视为弃标、扣除投标保证金。</w:t>
      </w:r>
    </w:p>
    <w:p w14:paraId="659E253F">
      <w:pPr>
        <w:spacing w:line="520" w:lineRule="exact"/>
        <w:ind w:firstLine="420" w:firstLineChars="200"/>
        <w:rPr>
          <w:rFonts w:hint="eastAsia" w:ascii="Times New Roman" w:hAnsi="Times New Roman" w:eastAsia="宋体" w:cs="Times New Roman"/>
        </w:rPr>
      </w:pPr>
      <w:r>
        <w:rPr>
          <w:rFonts w:hint="eastAsia" w:ascii="Times New Roman" w:hAnsi="Times New Roman" w:eastAsia="宋体" w:cs="Times New Roman"/>
          <w:lang w:val="en-US" w:eastAsia="zh-CN"/>
        </w:rPr>
        <w:t>4、中标方收到招标人或其关联公司清运通知后，应按要求的时间、地点与招标人或其关联公司签订合同，并按时清运。在拉运过程中无论是何种原因（含雨、雪等特殊天气和法定节假日），不得影响招标人或其关联公司正常的生产秩序。</w:t>
      </w:r>
    </w:p>
    <w:p w14:paraId="593B6647">
      <w:pPr>
        <w:spacing w:line="520" w:lineRule="exact"/>
        <w:ind w:right="2" w:firstLine="420" w:firstLineChars="200"/>
        <w:rPr>
          <w:rFonts w:hint="eastAsia" w:ascii="宋体" w:hAnsi="Courier New"/>
        </w:rPr>
      </w:pPr>
      <w:r>
        <w:rPr>
          <w:rFonts w:hint="eastAsia" w:ascii="宋体" w:hAnsi="Courier New"/>
        </w:rPr>
        <w:t>5、中标单位自行负责物资装卸、必要时需要在现场投入相应人员、设备确保现场整洁到位。中标方工作人员进入</w:t>
      </w:r>
      <w:r>
        <w:rPr>
          <w:rFonts w:hint="eastAsia" w:ascii="Times New Roman" w:hAnsi="Times New Roman" w:eastAsia="宋体" w:cs="Times New Roman"/>
          <w:lang w:val="en-US" w:eastAsia="zh-CN"/>
        </w:rPr>
        <w:t>招标人或</w:t>
      </w:r>
      <w:r>
        <w:rPr>
          <w:rFonts w:hint="eastAsia" w:ascii="宋体" w:hAnsi="Courier New"/>
        </w:rPr>
        <w:t>其关联公司厂区，应当严格遵守包括但不限于安全、环保、合作方管理、门禁、物资出门等方面的规章制度，按照要求办理相关手续，并全过程接受</w:t>
      </w:r>
      <w:r>
        <w:rPr>
          <w:rFonts w:hint="eastAsia" w:ascii="Times New Roman" w:hAnsi="Times New Roman" w:eastAsia="宋体" w:cs="Times New Roman"/>
          <w:lang w:val="en-US" w:eastAsia="zh-CN"/>
        </w:rPr>
        <w:t>招标人或</w:t>
      </w:r>
      <w:r>
        <w:rPr>
          <w:rFonts w:hint="eastAsia" w:ascii="宋体" w:hAnsi="Courier New"/>
        </w:rPr>
        <w:t>其关联公司</w:t>
      </w:r>
      <w:r>
        <w:rPr>
          <w:rFonts w:hint="eastAsia" w:ascii="宋体" w:hAnsi="Courier New"/>
        </w:rPr>
        <w:t>的监督和检查。中标方应严格按照国家法律法规和本文件约定运输、仓储和处置物资，因中标方处置不当所产生的任何法律问题或纠纷，均由中标方承担一切法律责任。</w:t>
      </w:r>
    </w:p>
    <w:p w14:paraId="2D6D09C4">
      <w:pPr>
        <w:spacing w:line="520" w:lineRule="exact"/>
        <w:ind w:right="2" w:firstLine="420" w:firstLineChars="200"/>
        <w:rPr>
          <w:rFonts w:hint="eastAsia" w:ascii="宋体" w:hAnsi="Courier New"/>
        </w:rPr>
      </w:pPr>
      <w:r>
        <w:rPr>
          <w:rFonts w:ascii="宋体" w:hAnsi="Courier New"/>
        </w:rPr>
        <w:t>6</w:t>
      </w:r>
      <w:r>
        <w:rPr>
          <w:rFonts w:hint="eastAsia" w:ascii="宋体" w:hAnsi="Courier New"/>
        </w:rPr>
        <w:t>、在履行合同过程中，中标方由于履行义务的能力或信用有严重缺陷，招标方有权解除合同并取消其中标资格，扣除全部或部分履约保证金，招标方将从中标候选单位中重新确定中标方，或重新组织招标。</w:t>
      </w:r>
    </w:p>
    <w:p w14:paraId="70D555E9">
      <w:pPr>
        <w:spacing w:line="520" w:lineRule="exact"/>
        <w:ind w:right="2" w:firstLine="420" w:firstLineChars="200"/>
        <w:rPr>
          <w:rFonts w:ascii="宋体" w:hAnsi="Courier New"/>
          <w:b/>
        </w:rPr>
      </w:pPr>
      <w:r>
        <w:rPr>
          <w:rFonts w:ascii="宋体" w:hAnsi="Courier New"/>
        </w:rPr>
        <w:t>7</w:t>
      </w:r>
      <w:r>
        <w:rPr>
          <w:rFonts w:hint="eastAsia" w:ascii="宋体" w:hAnsi="Courier New"/>
        </w:rPr>
        <w:t>、中标方处置、付款方式：中标方拉货前须按招标方或产出单位要求，将预计发生的货款自行协调转入相关产出单位账户。付款方式为现金或银行转账。中标方凭财务部门出具收款证明、销售合同，方可进行物资的清运，严禁欠款拉货。清运时的人员、车辆须固定，并提供相关人员身份信息及车辆信息进行备案。</w:t>
      </w:r>
      <w:r>
        <w:rPr>
          <w:rFonts w:hint="eastAsia" w:ascii="宋体" w:hAnsi="Courier New"/>
          <w:b/>
        </w:rPr>
        <w:t>清运车辆要求：必须使用重汽品牌的国五排放</w:t>
      </w:r>
      <w:r>
        <w:rPr>
          <w:rFonts w:hint="eastAsia" w:ascii="宋体" w:hAnsi="Courier New"/>
          <w:b/>
          <w:lang w:val="en-US" w:eastAsia="zh-CN"/>
        </w:rPr>
        <w:t>及以上</w:t>
      </w:r>
      <w:r>
        <w:rPr>
          <w:rFonts w:hint="eastAsia" w:ascii="宋体" w:hAnsi="Courier New"/>
          <w:b/>
        </w:rPr>
        <w:t>的车辆入厂，不得影响标的物的正常清运。</w:t>
      </w:r>
    </w:p>
    <w:p w14:paraId="23DB5C9B">
      <w:pPr>
        <w:spacing w:line="520" w:lineRule="exact"/>
        <w:ind w:right="2" w:firstLine="420" w:firstLineChars="200"/>
        <w:rPr>
          <w:rFonts w:hint="eastAsia" w:ascii="宋体" w:hAnsi="宋体" w:eastAsia="宋体" w:cs="宋体"/>
          <w:b/>
          <w:bCs w:val="0"/>
          <w:kern w:val="2"/>
          <w:sz w:val="24"/>
          <w:szCs w:val="22"/>
          <w:lang w:val="en-US" w:eastAsia="zh-CN" w:bidi="ar"/>
        </w:rPr>
      </w:pPr>
      <w:r>
        <w:rPr>
          <w:rFonts w:hint="eastAsia" w:ascii="宋体" w:hAnsi="Courier New"/>
        </w:rPr>
        <w:t>8、中标方处置物资时必须符合国家相关法律规定，并能够配合招标方提供物资去向说明等环保检查所需相关资料。</w:t>
      </w:r>
    </w:p>
    <w:p w14:paraId="79AE9426">
      <w:pPr>
        <w:spacing w:line="520" w:lineRule="exact"/>
        <w:ind w:right="2" w:firstLine="420" w:firstLineChars="200"/>
        <w:rPr>
          <w:rFonts w:hint="eastAsia" w:ascii="宋体" w:hAnsi="Courier New" w:eastAsia="宋体" w:cs="Times New Roman"/>
          <w:lang w:val="en-US" w:eastAsia="zh-CN"/>
        </w:rPr>
      </w:pPr>
      <w:r>
        <w:rPr>
          <w:rFonts w:hint="eastAsia" w:ascii="宋体" w:hAnsi="Courier New" w:eastAsia="宋体" w:cs="Times New Roman"/>
          <w:lang w:val="en-US" w:eastAsia="zh-CN"/>
        </w:rPr>
        <w:t>9、经</w:t>
      </w:r>
      <w:r>
        <w:rPr>
          <w:rFonts w:hint="eastAsia" w:ascii="Times New Roman" w:hAnsi="Times New Roman" w:eastAsia="宋体" w:cs="Times New Roman"/>
          <w:lang w:val="en-US" w:eastAsia="zh-CN"/>
        </w:rPr>
        <w:t>招标人或</w:t>
      </w:r>
      <w:r>
        <w:rPr>
          <w:rFonts w:hint="eastAsia" w:ascii="宋体" w:hAnsi="Courier New"/>
        </w:rPr>
        <w:t>其关联公司</w:t>
      </w:r>
      <w:r>
        <w:rPr>
          <w:rFonts w:hint="eastAsia" w:ascii="宋体" w:hAnsi="Courier New" w:eastAsia="宋体" w:cs="Times New Roman"/>
          <w:lang w:val="en-US" w:eastAsia="zh-CN"/>
        </w:rPr>
        <w:t>保卫人员认定中标方从业人员有盗窃行为的，竞价组织方直接扣留中标方缴纳的全额保证金作为违约金，不足部分从预付货款中扣除，取消中标方资格；如有较大盗窃行为，符合条件的交相应司法部门处理。</w:t>
      </w:r>
    </w:p>
    <w:p w14:paraId="73505A18">
      <w:pPr>
        <w:spacing w:line="520" w:lineRule="exact"/>
        <w:ind w:right="2" w:firstLine="420" w:firstLineChars="200"/>
        <w:rPr>
          <w:rFonts w:hint="eastAsia" w:ascii="宋体" w:hAnsi="Courier New" w:eastAsia="宋体" w:cs="Times New Roman"/>
          <w:lang w:val="en-US" w:eastAsia="zh-CN"/>
        </w:rPr>
      </w:pPr>
    </w:p>
    <w:p w14:paraId="0D7842D4">
      <w:pPr>
        <w:pStyle w:val="6"/>
        <w:spacing w:line="360" w:lineRule="auto"/>
        <w:rPr>
          <w:rFonts w:ascii="黑体" w:eastAsia="黑体"/>
          <w:b/>
          <w:bCs/>
          <w:sz w:val="28"/>
        </w:rPr>
      </w:pPr>
      <w:r>
        <w:rPr>
          <w:rFonts w:hint="eastAsia" w:ascii="黑体" w:eastAsia="黑体"/>
          <w:b/>
          <w:bCs/>
          <w:sz w:val="28"/>
          <w:lang w:val="en-US" w:eastAsia="zh-CN"/>
        </w:rPr>
        <w:t>六</w:t>
      </w:r>
      <w:r>
        <w:rPr>
          <w:rFonts w:hint="eastAsia" w:ascii="黑体" w:eastAsia="黑体"/>
          <w:b/>
          <w:bCs/>
          <w:sz w:val="28"/>
        </w:rPr>
        <w:t>、中标人瑕疵滞后发现的处理原则</w:t>
      </w:r>
    </w:p>
    <w:p w14:paraId="19E4B4D6">
      <w:pPr>
        <w:spacing w:line="520" w:lineRule="exact"/>
        <w:ind w:firstLine="420" w:firstLineChars="200"/>
        <w:rPr>
          <w:rFonts w:hint="eastAsia" w:ascii="宋体" w:hAnsi="Courier New"/>
        </w:rPr>
      </w:pPr>
      <w:r>
        <w:rPr>
          <w:rFonts w:hint="eastAsia" w:ascii="宋体" w:hAnsi="Courier New"/>
        </w:rPr>
        <w:t>本项目招标过程必须满足中国重型汽车集团《废旧物资MRO平台竞价管理流程》的要求，无论基于何种原因，各项本应作为拒绝处理的情形即便未被及时发现而使该中标人通过了资格审核、初评、现场复审、终评或其他所有相关</w:t>
      </w:r>
      <w:r>
        <w:rPr>
          <w:rFonts w:hint="eastAsia" w:ascii="宋体" w:hAnsi="Courier New" w:eastAsia="宋体" w:cs="Times New Roman"/>
        </w:rPr>
        <w:t>程序，包括已签订合同的情形，招标人均有权拒绝或取消中标人资格，一旦中标人被拒绝或该中标人此前的评议结果被取消，相关的一切损失均由该中标人承担。</w:t>
      </w:r>
    </w:p>
    <w:p w14:paraId="4BB25357">
      <w:pPr>
        <w:spacing w:line="520" w:lineRule="exact"/>
        <w:ind w:firstLine="420" w:firstLineChars="200"/>
        <w:rPr>
          <w:rFonts w:hint="eastAsia" w:ascii="宋体" w:hAnsi="Courier New"/>
        </w:rPr>
      </w:pPr>
    </w:p>
    <w:p w14:paraId="2732A488">
      <w:pPr>
        <w:pStyle w:val="6"/>
        <w:spacing w:line="360" w:lineRule="auto"/>
        <w:ind w:left="843" w:hanging="843" w:hangingChars="300"/>
        <w:jc w:val="left"/>
        <w:rPr>
          <w:rFonts w:ascii="黑体" w:eastAsia="黑体"/>
          <w:b/>
          <w:bCs/>
          <w:sz w:val="28"/>
        </w:rPr>
      </w:pPr>
      <w:r>
        <w:rPr>
          <w:rFonts w:hint="eastAsia" w:ascii="黑体" w:eastAsia="黑体"/>
          <w:b/>
          <w:bCs/>
          <w:sz w:val="28"/>
          <w:lang w:val="en-US" w:eastAsia="zh-CN"/>
        </w:rPr>
        <w:t>七</w:t>
      </w:r>
      <w:r>
        <w:rPr>
          <w:rFonts w:hint="eastAsia" w:ascii="黑体" w:eastAsia="黑体"/>
          <w:b/>
          <w:bCs/>
          <w:sz w:val="28"/>
        </w:rPr>
        <w:t>、解释权</w:t>
      </w:r>
    </w:p>
    <w:p w14:paraId="3E25ADE8">
      <w:pPr>
        <w:pStyle w:val="6"/>
        <w:spacing w:line="360" w:lineRule="auto"/>
        <w:ind w:firstLine="420" w:firstLineChars="200"/>
        <w:rPr>
          <w:rFonts w:hint="default" w:ascii="Helvetica" w:hAnsi="Helvetica" w:eastAsia="宋体" w:cs="Helvetica"/>
          <w:szCs w:val="21"/>
          <w:shd w:val="clear" w:color="auto" w:fill="FFFFFF"/>
          <w:lang w:val="en-US" w:eastAsia="zh-CN"/>
        </w:rPr>
      </w:pPr>
      <w:r>
        <w:rPr>
          <w:rFonts w:hint="eastAsia" w:ascii="Helvetica" w:hAnsi="Helvetica" w:cs="Helvetica"/>
          <w:szCs w:val="21"/>
          <w:shd w:val="clear" w:color="auto" w:fill="FFFFFF"/>
        </w:rPr>
        <w:t>本招标文件的最终解释权归招标人，当对一个问题有多种解释时以招标人的书面解释为准。招标文件未做明示，而又有相关法律、法规规定的，招标人对此所做解释以相关的法律、法规规定为依据。</w:t>
      </w:r>
    </w:p>
    <w:p w14:paraId="0BB4F709">
      <w:pPr>
        <w:pStyle w:val="6"/>
        <w:spacing w:line="360" w:lineRule="auto"/>
        <w:ind w:firstLine="420" w:firstLineChars="200"/>
        <w:rPr>
          <w:rFonts w:hint="eastAsia" w:ascii="Helvetica" w:hAnsi="Helvetica" w:cs="Helvetica"/>
          <w:szCs w:val="21"/>
          <w:shd w:val="clear" w:color="auto" w:fill="FFFFFF"/>
        </w:rPr>
      </w:pPr>
    </w:p>
    <w:p w14:paraId="64FB56C3">
      <w:pPr>
        <w:pStyle w:val="6"/>
        <w:spacing w:line="360" w:lineRule="auto"/>
        <w:rPr>
          <w:rFonts w:hint="eastAsia" w:ascii="Helvetica" w:hAnsi="Helvetica" w:cs="Helvetica"/>
          <w:szCs w:val="21"/>
          <w:shd w:val="clear" w:color="auto" w:fill="FFFFFF"/>
        </w:rPr>
      </w:pPr>
      <w:r>
        <w:rPr>
          <w:rFonts w:hint="eastAsia" w:ascii="Helvetica" w:hAnsi="Helvetica" w:cs="Helvetica"/>
          <w:szCs w:val="21"/>
          <w:highlight w:val="none"/>
          <w:shd w:val="clear" w:color="auto" w:fill="FFFFFF"/>
          <w:lang w:val="en-US" w:eastAsia="zh-CN"/>
        </w:rPr>
        <w:t>附：报价明细表</w:t>
      </w:r>
      <w:r>
        <w:rPr>
          <w:rFonts w:hint="eastAsia" w:ascii="Helvetica" w:hAnsi="Helvetica" w:cs="Helvetica"/>
          <w:szCs w:val="21"/>
          <w:highlight w:val="none"/>
          <w:shd w:val="clear" w:color="auto" w:fill="FFFFFF"/>
        </w:rPr>
        <w:t>具体如下：</w:t>
      </w:r>
    </w:p>
    <w:tbl>
      <w:tblPr>
        <w:tblStyle w:val="14"/>
        <w:tblW w:w="910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0"/>
        <w:gridCol w:w="1990"/>
        <w:gridCol w:w="960"/>
        <w:gridCol w:w="960"/>
        <w:gridCol w:w="960"/>
        <w:gridCol w:w="1398"/>
        <w:gridCol w:w="1875"/>
      </w:tblGrid>
      <w:tr w14:paraId="3F4C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1C111E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分包</w:t>
            </w:r>
          </w:p>
        </w:tc>
        <w:tc>
          <w:tcPr>
            <w:tcW w:w="1990"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573F2AA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物料名称</w:t>
            </w:r>
          </w:p>
        </w:tc>
        <w:tc>
          <w:tcPr>
            <w:tcW w:w="960"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753CDAC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960"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7138770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预估数量</w:t>
            </w:r>
          </w:p>
        </w:tc>
        <w:tc>
          <w:tcPr>
            <w:tcW w:w="960"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77EC1D1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起拍价（元）含税13%</w:t>
            </w:r>
          </w:p>
        </w:tc>
        <w:tc>
          <w:tcPr>
            <w:tcW w:w="1398"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563AE3C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价格是否波动</w:t>
            </w:r>
          </w:p>
        </w:tc>
        <w:tc>
          <w:tcPr>
            <w:tcW w:w="1875" w:type="dxa"/>
            <w:tcBorders>
              <w:top w:val="single" w:color="000000" w:sz="4" w:space="0"/>
              <w:left w:val="single" w:color="000000" w:sz="4" w:space="0"/>
              <w:bottom w:val="single" w:color="000000" w:sz="4" w:space="0"/>
              <w:right w:val="single" w:color="000000" w:sz="4" w:space="0"/>
            </w:tcBorders>
            <w:shd w:val="clear" w:color="auto" w:fill="92D050"/>
            <w:noWrap w:val="0"/>
            <w:vAlign w:val="center"/>
          </w:tcPr>
          <w:p w14:paraId="365B003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r>
      <w:tr w14:paraId="426A1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60" w:type="dxa"/>
            <w:vMerge w:val="restart"/>
            <w:tcBorders>
              <w:top w:val="single" w:color="000000" w:sz="4" w:space="0"/>
              <w:left w:val="single" w:color="000000" w:sz="4" w:space="0"/>
              <w:bottom w:val="single" w:color="000000" w:sz="4" w:space="0"/>
              <w:right w:val="single" w:color="000000" w:sz="4" w:space="0"/>
            </w:tcBorders>
            <w:noWrap w:val="0"/>
            <w:vAlign w:val="center"/>
          </w:tcPr>
          <w:p w14:paraId="04DE5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w:t>
            </w: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0E072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塑料橡胶件、废线皮、塑料边角料</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C498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F910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CA2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2136</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25C60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restart"/>
            <w:tcBorders>
              <w:top w:val="single" w:color="000000" w:sz="4" w:space="0"/>
              <w:left w:val="single" w:color="000000" w:sz="4" w:space="0"/>
              <w:bottom w:val="single" w:color="000000" w:sz="4" w:space="0"/>
              <w:right w:val="single" w:color="000000" w:sz="4" w:space="0"/>
            </w:tcBorders>
            <w:noWrap w:val="0"/>
            <w:vAlign w:val="center"/>
          </w:tcPr>
          <w:p w14:paraId="55758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济南地区各单位（含研发单位）。A包计划选用2家中标方（中标价拉齐），第一名优先选择。</w:t>
            </w:r>
          </w:p>
        </w:tc>
      </w:tr>
      <w:tr w14:paraId="51E5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AC8F69">
            <w:pPr>
              <w:jc w:val="center"/>
              <w:rPr>
                <w:rFonts w:hint="eastAsia" w:ascii="宋体" w:hAnsi="宋体" w:eastAsia="宋体" w:cs="宋体"/>
                <w:i w:val="0"/>
                <w:iCs w:val="0"/>
                <w:color w:val="000000"/>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5B555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非产品废橡胶类</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2CBD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BC44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A89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4FEDB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4D89D">
            <w:pPr>
              <w:jc w:val="center"/>
              <w:rPr>
                <w:rFonts w:hint="eastAsia" w:ascii="宋体" w:hAnsi="宋体" w:eastAsia="宋体" w:cs="宋体"/>
                <w:i w:val="0"/>
                <w:iCs w:val="0"/>
                <w:color w:val="000000"/>
                <w:sz w:val="22"/>
                <w:szCs w:val="22"/>
                <w:u w:val="none"/>
              </w:rPr>
            </w:pPr>
          </w:p>
        </w:tc>
      </w:tr>
      <w:tr w14:paraId="7F5F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DA0B9">
            <w:pPr>
              <w:jc w:val="center"/>
              <w:rPr>
                <w:rFonts w:hint="eastAsia" w:ascii="宋体" w:hAnsi="宋体" w:eastAsia="宋体" w:cs="宋体"/>
                <w:i w:val="0"/>
                <w:iCs w:val="0"/>
                <w:color w:val="000000"/>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7A601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废胶边</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F6C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604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8173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6A9D9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B6A78">
            <w:pPr>
              <w:jc w:val="center"/>
              <w:rPr>
                <w:rFonts w:hint="eastAsia" w:ascii="宋体" w:hAnsi="宋体" w:eastAsia="宋体" w:cs="宋体"/>
                <w:i w:val="0"/>
                <w:iCs w:val="0"/>
                <w:color w:val="000000"/>
                <w:sz w:val="22"/>
                <w:szCs w:val="22"/>
                <w:u w:val="none"/>
              </w:rPr>
            </w:pPr>
          </w:p>
        </w:tc>
      </w:tr>
      <w:tr w14:paraId="2560C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3CE772">
            <w:pPr>
              <w:jc w:val="center"/>
              <w:rPr>
                <w:rFonts w:hint="eastAsia" w:ascii="宋体" w:hAnsi="宋体" w:eastAsia="宋体" w:cs="宋体"/>
                <w:i w:val="0"/>
                <w:iCs w:val="0"/>
                <w:color w:val="000000"/>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1C7B6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废胶料</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5A2B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D13C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087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4A89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5D97F0">
            <w:pPr>
              <w:jc w:val="center"/>
              <w:rPr>
                <w:rFonts w:hint="eastAsia" w:ascii="宋体" w:hAnsi="宋体" w:eastAsia="宋体" w:cs="宋体"/>
                <w:i w:val="0"/>
                <w:iCs w:val="0"/>
                <w:color w:val="000000"/>
                <w:sz w:val="22"/>
                <w:szCs w:val="22"/>
                <w:u w:val="none"/>
              </w:rPr>
            </w:pPr>
          </w:p>
        </w:tc>
      </w:tr>
      <w:tr w14:paraId="0E685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9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F21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t>
            </w: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710C3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塑料橡胶件、废线皮、塑料边角料</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D83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9315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EC3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0F1C0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1A9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福建海西</w:t>
            </w:r>
          </w:p>
        </w:tc>
      </w:tr>
      <w:tr w14:paraId="49744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514ED6">
            <w:pPr>
              <w:jc w:val="center"/>
              <w:rPr>
                <w:rFonts w:hint="eastAsia" w:ascii="宋体" w:hAnsi="宋体" w:eastAsia="宋体" w:cs="宋体"/>
                <w:i w:val="0"/>
                <w:iCs w:val="0"/>
                <w:color w:val="000000"/>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56D35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轻卡废轮胎（无圈）</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9A21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E443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45E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7E7F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E19CE">
            <w:pPr>
              <w:jc w:val="center"/>
              <w:rPr>
                <w:rFonts w:hint="eastAsia" w:ascii="宋体" w:hAnsi="宋体" w:eastAsia="宋体" w:cs="宋体"/>
                <w:i w:val="0"/>
                <w:iCs w:val="0"/>
                <w:color w:val="000000"/>
                <w:sz w:val="22"/>
                <w:szCs w:val="22"/>
                <w:u w:val="none"/>
              </w:rPr>
            </w:pPr>
          </w:p>
        </w:tc>
      </w:tr>
      <w:tr w14:paraId="6CE1B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467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w:t>
            </w: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75FD8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塑料橡胶件、废线皮、塑料边角料</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D25B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524BF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5D7B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2184</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0C16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720AE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济宁商用车</w:t>
            </w:r>
          </w:p>
        </w:tc>
      </w:tr>
      <w:tr w14:paraId="1170B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C23D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w:t>
            </w:r>
          </w:p>
        </w:tc>
        <w:tc>
          <w:tcPr>
            <w:tcW w:w="1990" w:type="dxa"/>
            <w:tcBorders>
              <w:top w:val="single" w:color="000000" w:sz="4" w:space="0"/>
              <w:left w:val="single" w:color="000000" w:sz="4" w:space="0"/>
              <w:bottom w:val="single" w:color="000000" w:sz="4" w:space="0"/>
              <w:right w:val="single" w:color="000000" w:sz="4" w:space="0"/>
            </w:tcBorders>
            <w:noWrap w:val="0"/>
            <w:vAlign w:val="center"/>
          </w:tcPr>
          <w:p w14:paraId="44BE1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塑料橡胶件、废线皮、塑料边角料</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7F4AE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8344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E69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2145</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4BF1B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70893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重庆汽车</w:t>
            </w:r>
          </w:p>
        </w:tc>
      </w:tr>
    </w:tbl>
    <w:p w14:paraId="264D5EDB">
      <w:pPr>
        <w:pStyle w:val="6"/>
        <w:spacing w:line="360" w:lineRule="auto"/>
        <w:ind w:firstLine="420" w:firstLineChars="200"/>
        <w:rPr>
          <w:rFonts w:hint="eastAsia" w:ascii="Helvetica" w:hAnsi="Helvetica" w:cs="Helvetica"/>
          <w:szCs w:val="21"/>
          <w:shd w:val="clear" w:color="auto" w:fill="FFFFFF"/>
        </w:rPr>
      </w:pPr>
    </w:p>
    <w:p w14:paraId="7AB49E3C">
      <w:pPr>
        <w:pStyle w:val="6"/>
        <w:spacing w:line="360" w:lineRule="auto"/>
        <w:rPr>
          <w:rFonts w:hint="eastAsia" w:ascii="仿宋_GB2312" w:hAnsi="等线" w:eastAsia="仿宋_GB2312" w:cs="宋体"/>
          <w:b/>
          <w:bCs/>
          <w:color w:val="FF0000"/>
          <w:kern w:val="0"/>
          <w:sz w:val="24"/>
          <w:szCs w:val="24"/>
          <w:highlight w:val="none"/>
          <w:lang w:val="en-US" w:eastAsia="zh-CN"/>
        </w:rPr>
      </w:pPr>
      <w:r>
        <w:rPr>
          <w:rFonts w:hint="eastAsia" w:ascii="仿宋_GB2312" w:hAnsi="等线" w:eastAsia="仿宋_GB2312" w:cs="宋体"/>
          <w:b/>
          <w:bCs/>
          <w:color w:val="FF0000"/>
          <w:kern w:val="0"/>
          <w:sz w:val="24"/>
          <w:szCs w:val="24"/>
          <w:highlight w:val="none"/>
          <w:lang w:val="en-US" w:eastAsia="zh-CN"/>
        </w:rPr>
        <w:t>注：</w:t>
      </w:r>
    </w:p>
    <w:p w14:paraId="49464EAB">
      <w:pPr>
        <w:pStyle w:val="6"/>
        <w:spacing w:line="360" w:lineRule="auto"/>
        <w:rPr>
          <w:rFonts w:hint="default" w:ascii="仿宋_GB2312" w:hAnsi="等线" w:eastAsia="仿宋_GB2312" w:cs="宋体"/>
          <w:b/>
          <w:bCs/>
          <w:color w:val="FF0000"/>
          <w:kern w:val="0"/>
          <w:sz w:val="24"/>
          <w:szCs w:val="24"/>
          <w:highlight w:val="none"/>
          <w:lang w:val="en-US" w:eastAsia="zh-CN"/>
        </w:rPr>
      </w:pPr>
      <w:r>
        <w:rPr>
          <w:rFonts w:hint="eastAsia" w:ascii="仿宋_GB2312" w:hAnsi="等线" w:eastAsia="仿宋_GB2312" w:cs="宋体"/>
          <w:b/>
          <w:bCs/>
          <w:color w:val="FF0000"/>
          <w:kern w:val="0"/>
          <w:sz w:val="24"/>
          <w:szCs w:val="24"/>
          <w:highlight w:val="none"/>
          <w:lang w:val="en-US" w:eastAsia="zh-CN"/>
        </w:rPr>
        <w:t>1、物资状态以现场实物为准。</w:t>
      </w:r>
    </w:p>
    <w:p w14:paraId="5A911DC5">
      <w:pPr>
        <w:pStyle w:val="6"/>
        <w:spacing w:line="360" w:lineRule="auto"/>
        <w:rPr>
          <w:rFonts w:hint="eastAsia" w:ascii="仿宋_GB2312" w:hAnsi="等线" w:eastAsia="仿宋_GB2312" w:cs="宋体"/>
          <w:b/>
          <w:bCs/>
          <w:color w:val="FF0000"/>
          <w:kern w:val="0"/>
          <w:sz w:val="24"/>
          <w:szCs w:val="24"/>
          <w:highlight w:val="none"/>
          <w:lang w:val="en-US" w:eastAsia="zh-CN"/>
        </w:rPr>
      </w:pPr>
      <w:r>
        <w:rPr>
          <w:rFonts w:hint="eastAsia" w:ascii="仿宋_GB2312" w:hAnsi="等线" w:eastAsia="仿宋_GB2312" w:cs="宋体"/>
          <w:b/>
          <w:bCs/>
          <w:color w:val="FF0000"/>
          <w:kern w:val="0"/>
          <w:sz w:val="24"/>
          <w:szCs w:val="24"/>
          <w:highlight w:val="none"/>
          <w:lang w:val="en-US" w:eastAsia="zh-CN"/>
        </w:rPr>
        <w:t>2、合同期至2027年7月31日。</w:t>
      </w:r>
    </w:p>
    <w:p w14:paraId="2071FFE1">
      <w:pPr>
        <w:pStyle w:val="6"/>
        <w:spacing w:line="360" w:lineRule="auto"/>
        <w:rPr>
          <w:rFonts w:hint="eastAsia" w:ascii="仿宋_GB2312" w:hAnsi="等线" w:eastAsia="仿宋_GB2312" w:cs="宋体"/>
          <w:b/>
          <w:bCs/>
          <w:color w:val="FF0000"/>
          <w:kern w:val="0"/>
          <w:sz w:val="24"/>
          <w:szCs w:val="24"/>
          <w:highlight w:val="none"/>
          <w:lang w:val="en-US" w:eastAsia="zh-CN"/>
        </w:rPr>
      </w:pPr>
    </w:p>
    <w:p w14:paraId="2D5AD3C3">
      <w:pPr>
        <w:pStyle w:val="6"/>
        <w:spacing w:line="360" w:lineRule="auto"/>
        <w:rPr>
          <w:rFonts w:hint="eastAsia" w:ascii="仿宋_GB2312" w:hAnsi="等线" w:eastAsia="仿宋_GB2312" w:cs="宋体"/>
          <w:b/>
          <w:bCs/>
          <w:color w:val="FF0000"/>
          <w:kern w:val="0"/>
          <w:sz w:val="24"/>
          <w:szCs w:val="24"/>
          <w:highlight w:val="none"/>
          <w:lang w:val="en-US" w:eastAsia="zh-CN"/>
        </w:rPr>
      </w:pPr>
    </w:p>
    <w:p w14:paraId="6C379728">
      <w:pPr>
        <w:keepNext w:val="0"/>
        <w:keepLines w:val="0"/>
        <w:pageBreakBefore w:val="0"/>
        <w:widowControl w:val="0"/>
        <w:numPr>
          <w:ilvl w:val="0"/>
          <w:numId w:val="0"/>
        </w:numPr>
        <w:kinsoku/>
        <w:wordWrap w:val="0"/>
        <w:overflowPunct/>
        <w:topLinePunct w:val="0"/>
        <w:autoSpaceDE/>
        <w:autoSpaceDN/>
        <w:bidi w:val="0"/>
        <w:adjustRightInd/>
        <w:snapToGrid/>
        <w:jc w:val="both"/>
        <w:textAlignment w:val="auto"/>
        <w:rPr>
          <w:rFonts w:hint="eastAsia" w:ascii="仿宋" w:hAnsi="仿宋" w:eastAsia="仿宋" w:cs="仿宋"/>
          <w:sz w:val="32"/>
          <w:szCs w:val="32"/>
          <w:highlight w:val="none"/>
          <w:u w:val="none"/>
          <w:lang w:val="en-US" w:eastAsia="zh-CN"/>
        </w:rPr>
      </w:pPr>
      <w:r>
        <w:rPr>
          <w:rFonts w:hint="eastAsia" w:ascii="宋体" w:hAnsi="宋体" w:eastAsia="宋体" w:cs="宋体"/>
          <w:sz w:val="24"/>
          <w:szCs w:val="24"/>
          <w:highlight w:val="none"/>
          <w:u w:val="none"/>
          <w:lang w:val="en-US" w:eastAsia="zh-CN"/>
        </w:rPr>
        <w:t>附件一：</w:t>
      </w:r>
    </w:p>
    <w:p w14:paraId="5872F06A">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法定代表人授权委托书</w:t>
      </w:r>
    </w:p>
    <w:p w14:paraId="21000A3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cs="Times New Roman"/>
          <w:b/>
          <w:bCs/>
          <w:color w:val="000000"/>
          <w:sz w:val="24"/>
          <w:szCs w:val="24"/>
          <w:highlight w:val="none"/>
          <w:u w:val="single"/>
          <w:lang w:val="en-US" w:eastAsia="zh-CN"/>
        </w:rPr>
        <w:t xml:space="preserve">             （项目名称）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ECAED35">
      <w:pPr>
        <w:spacing w:line="360" w:lineRule="auto"/>
        <w:ind w:left="420"/>
        <w:jc w:val="left"/>
        <w:rPr>
          <w:sz w:val="24"/>
          <w:highlight w:val="none"/>
        </w:rPr>
      </w:pPr>
      <w:r>
        <w:rPr>
          <w:rFonts w:hint="eastAsia" w:ascii="宋体" w:hAnsi="宋体" w:eastAsia="宋体" w:cs="Times New Roman"/>
          <w:color w:val="000000"/>
          <w:sz w:val="24"/>
          <w:szCs w:val="24"/>
          <w:highlight w:val="none"/>
        </w:rPr>
        <w:t>全权代表无转委权。特此委托。</w:t>
      </w:r>
      <w:r>
        <w:rPr>
          <w:rFonts w:ascii="宋体" w:hAnsi="宋体" w:eastAsia="宋体" w:cs="宋体"/>
          <w:kern w:val="0"/>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-434340</wp:posOffset>
                </wp:positionH>
                <wp:positionV relativeFrom="paragraph">
                  <wp:posOffset>327025</wp:posOffset>
                </wp:positionV>
                <wp:extent cx="2857500" cy="1493520"/>
                <wp:effectExtent l="4445" t="5080" r="8255" b="12700"/>
                <wp:wrapNone/>
                <wp:docPr id="1" name="矩形 1"/>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627152">
                            <w:pPr>
                              <w:jc w:val="center"/>
                              <w:rPr>
                                <w:sz w:val="32"/>
                              </w:rPr>
                            </w:pPr>
                          </w:p>
                          <w:p w14:paraId="58D41F63">
                            <w:pPr>
                              <w:jc w:val="center"/>
                              <w:rPr>
                                <w:sz w:val="32"/>
                              </w:rPr>
                            </w:pPr>
                            <w:r>
                              <w:rPr>
                                <w:rFonts w:hint="eastAsia"/>
                                <w:sz w:val="32"/>
                              </w:rPr>
                              <w:t>正面</w:t>
                            </w:r>
                          </w:p>
                        </w:txbxContent>
                      </wps:txbx>
                      <wps:bodyPr wrap="square" upright="1"/>
                    </wps:wsp>
                  </a:graphicData>
                </a:graphic>
              </wp:anchor>
            </w:drawing>
          </mc:Choice>
          <mc:Fallback>
            <w:pict>
              <v:rect id="_x0000_s1026" o:spid="_x0000_s1026" o:spt="1" style="position:absolute;left:0pt;margin-left:-34.2pt;margin-top:25.75pt;height:117.6pt;width:225pt;z-index:251659264;mso-width-relative:page;mso-height-relative:page;" fillcolor="#FFFFFF" filled="t" stroked="t" coordsize="21600,21600" o:gfxdata="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D3KFPZAAAACgEAAA8AAAAA&#10;AAAAAQAgAAAAIgAAAGRycy9kb3ducmV2LnhtbFBLAQIUABQAAAAIAIdO4kAFfQRHEwIAAEYEAAAO&#10;AAAAAAAAAAEAIAAAACgBAABkcnMvZTJvRG9jLnhtbFBLBQYAAAAABgAGAFkBAACtBQAAAAA=&#10;">
                <v:fill on="t" focussize="0,0"/>
                <v:stroke color="#000000" joinstyle="miter"/>
                <v:imagedata o:title=""/>
                <o:lock v:ext="edit" aspectratio="f"/>
                <v:textbox>
                  <w:txbxContent>
                    <w:p w14:paraId="5B627152">
                      <w:pPr>
                        <w:jc w:val="center"/>
                        <w:rPr>
                          <w:sz w:val="32"/>
                        </w:rPr>
                      </w:pPr>
                    </w:p>
                    <w:p w14:paraId="58D41F63">
                      <w:pPr>
                        <w:jc w:val="center"/>
                        <w:rPr>
                          <w:sz w:val="32"/>
                        </w:rPr>
                      </w:pPr>
                      <w:r>
                        <w:rPr>
                          <w:rFonts w:hint="eastAsia"/>
                          <w:sz w:val="32"/>
                        </w:rPr>
                        <w:t>正面</w:t>
                      </w:r>
                    </w:p>
                  </w:txbxContent>
                </v:textbox>
              </v:rect>
            </w:pict>
          </mc:Fallback>
        </mc:AlternateContent>
      </w:r>
    </w:p>
    <w:p w14:paraId="2A5C5F6C">
      <w:pPr>
        <w:spacing w:line="360" w:lineRule="auto"/>
        <w:rPr>
          <w:sz w:val="24"/>
          <w:highlight w:val="none"/>
        </w:rPr>
      </w:pPr>
      <w:r>
        <w:rPr>
          <w:rFonts w:ascii="宋体" w:hAnsi="宋体" w:eastAsia="宋体" w:cs="宋体"/>
          <w:kern w:val="0"/>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2865120</wp:posOffset>
                </wp:positionH>
                <wp:positionV relativeFrom="paragraph">
                  <wp:posOffset>15240</wp:posOffset>
                </wp:positionV>
                <wp:extent cx="2857500" cy="1493520"/>
                <wp:effectExtent l="4445" t="5080" r="8255" b="12700"/>
                <wp:wrapNone/>
                <wp:docPr id="2" name="矩形 2"/>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17C7FC">
                            <w:pPr>
                              <w:jc w:val="center"/>
                              <w:rPr>
                                <w:sz w:val="32"/>
                              </w:rPr>
                            </w:pPr>
                          </w:p>
                          <w:p w14:paraId="6FE4D9D6">
                            <w:pPr>
                              <w:jc w:val="center"/>
                              <w:rPr>
                                <w:sz w:val="32"/>
                              </w:rPr>
                            </w:pPr>
                            <w:r>
                              <w:rPr>
                                <w:rFonts w:hint="eastAsia"/>
                                <w:sz w:val="32"/>
                              </w:rPr>
                              <w:t>反面</w:t>
                            </w:r>
                          </w:p>
                        </w:txbxContent>
                      </wps:txbx>
                      <wps:bodyPr wrap="square" upright="1"/>
                    </wps:wsp>
                  </a:graphicData>
                </a:graphic>
              </wp:anchor>
            </w:drawing>
          </mc:Choice>
          <mc:Fallback>
            <w:pict>
              <v:rect id="_x0000_s1026" o:spid="_x0000_s1026" o:spt="1" style="position:absolute;left:0pt;margin-left:225.6pt;margin-top:1.2pt;height:117.6pt;width:225pt;z-index:251660288;mso-width-relative:page;mso-height-relative:page;" fillcolor="#FFFFFF" filled="t" stroked="t" coordsize="21600,21600" o:gfxdata="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l7L49YAAAAJAQAADwAAAAAAAAAB&#10;ACAAAAAiAAAAZHJzL2Rvd25yZXYueG1sUEsBAhQAFAAAAAgAh07iQAKEQB4SAgAARgQAAA4AAAAA&#10;AAAAAQAgAAAAJQEAAGRycy9lMm9Eb2MueG1sUEsFBgAAAAAGAAYAWQEAAKkFAAAAAA==&#10;">
                <v:fill on="t" focussize="0,0"/>
                <v:stroke color="#000000" joinstyle="miter"/>
                <v:imagedata o:title=""/>
                <o:lock v:ext="edit" aspectratio="f"/>
                <v:textbox>
                  <w:txbxContent>
                    <w:p w14:paraId="6817C7FC">
                      <w:pPr>
                        <w:jc w:val="center"/>
                        <w:rPr>
                          <w:sz w:val="32"/>
                        </w:rPr>
                      </w:pPr>
                    </w:p>
                    <w:p w14:paraId="6FE4D9D6">
                      <w:pPr>
                        <w:jc w:val="center"/>
                        <w:rPr>
                          <w:sz w:val="32"/>
                        </w:rPr>
                      </w:pPr>
                      <w:r>
                        <w:rPr>
                          <w:rFonts w:hint="eastAsia"/>
                          <w:sz w:val="32"/>
                        </w:rPr>
                        <w:t>反面</w:t>
                      </w:r>
                    </w:p>
                  </w:txbxContent>
                </v:textbox>
              </v:rect>
            </w:pict>
          </mc:Fallback>
        </mc:AlternateContent>
      </w:r>
    </w:p>
    <w:p w14:paraId="305AB3EF">
      <w:pPr>
        <w:spacing w:line="360" w:lineRule="auto"/>
        <w:rPr>
          <w:sz w:val="24"/>
          <w:highlight w:val="none"/>
        </w:rPr>
      </w:pPr>
    </w:p>
    <w:p w14:paraId="71E095E1">
      <w:pPr>
        <w:spacing w:line="360" w:lineRule="auto"/>
        <w:rPr>
          <w:sz w:val="24"/>
          <w:highlight w:val="none"/>
        </w:rPr>
      </w:pPr>
    </w:p>
    <w:p w14:paraId="22421A3A">
      <w:pPr>
        <w:spacing w:line="360" w:lineRule="auto"/>
        <w:rPr>
          <w:sz w:val="24"/>
          <w:highlight w:val="none"/>
        </w:rPr>
      </w:pPr>
    </w:p>
    <w:p w14:paraId="05B24A73">
      <w:pPr>
        <w:spacing w:line="360" w:lineRule="auto"/>
        <w:rPr>
          <w:sz w:val="24"/>
          <w:highlight w:val="none"/>
        </w:rPr>
      </w:pPr>
    </w:p>
    <w:p w14:paraId="607A802D">
      <w:pPr>
        <w:spacing w:line="360" w:lineRule="auto"/>
        <w:jc w:val="center"/>
        <w:rPr>
          <w:rFonts w:ascii="宋体" w:hAnsi="宋体" w:cs="宋体"/>
          <w:sz w:val="24"/>
          <w:szCs w:val="21"/>
          <w:highlight w:val="none"/>
        </w:rPr>
      </w:pPr>
    </w:p>
    <w:p w14:paraId="2A495AEB">
      <w:pPr>
        <w:spacing w:line="360" w:lineRule="auto"/>
        <w:jc w:val="center"/>
        <w:rPr>
          <w:rFonts w:ascii="宋体" w:hAnsi="宋体" w:eastAsia="宋体" w:cs="宋体"/>
          <w:sz w:val="24"/>
          <w:szCs w:val="21"/>
          <w:highlight w:val="none"/>
        </w:rPr>
      </w:pPr>
      <w:r>
        <w:rPr>
          <w:rFonts w:hint="eastAsia" w:ascii="宋体" w:hAnsi="宋体" w:cs="宋体"/>
          <w:sz w:val="24"/>
          <w:szCs w:val="21"/>
          <w:highlight w:val="none"/>
        </w:rPr>
        <w:t>（法人身份证正反面复印件粘贴处）</w:t>
      </w:r>
    </w:p>
    <w:p w14:paraId="26B54543">
      <w:pPr>
        <w:spacing w:line="360" w:lineRule="auto"/>
        <w:rPr>
          <w:sz w:val="24"/>
          <w:highlight w:val="none"/>
        </w:rPr>
      </w:pPr>
      <w:r>
        <w:rPr>
          <w:rFonts w:ascii="宋体" w:hAnsi="宋体" w:eastAsia="宋体" w:cs="宋体"/>
          <w:kern w:val="0"/>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2887980</wp:posOffset>
                </wp:positionH>
                <wp:positionV relativeFrom="paragraph">
                  <wp:posOffset>98425</wp:posOffset>
                </wp:positionV>
                <wp:extent cx="2857500" cy="1493520"/>
                <wp:effectExtent l="4445" t="5080" r="8255" b="12700"/>
                <wp:wrapNone/>
                <wp:docPr id="4" name="矩形 4"/>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24B04FB">
                            <w:pPr>
                              <w:jc w:val="center"/>
                              <w:rPr>
                                <w:sz w:val="32"/>
                              </w:rPr>
                            </w:pPr>
                          </w:p>
                          <w:p w14:paraId="2845930C">
                            <w:pPr>
                              <w:jc w:val="center"/>
                              <w:rPr>
                                <w:sz w:val="32"/>
                              </w:rPr>
                            </w:pPr>
                            <w:r>
                              <w:rPr>
                                <w:rFonts w:hint="eastAsia"/>
                                <w:sz w:val="32"/>
                              </w:rPr>
                              <w:t>反面</w:t>
                            </w:r>
                          </w:p>
                        </w:txbxContent>
                      </wps:txbx>
                      <wps:bodyPr wrap="square" upright="1"/>
                    </wps:wsp>
                  </a:graphicData>
                </a:graphic>
              </wp:anchor>
            </w:drawing>
          </mc:Choice>
          <mc:Fallback>
            <w:pict>
              <v:rect id="_x0000_s1026" o:spid="_x0000_s1026" o:spt="1" style="position:absolute;left:0pt;margin-left:227.4pt;margin-top:7.75pt;height:117.6pt;width:225pt;z-index:251662336;mso-width-relative:page;mso-height-relative:page;" fillcolor="#FFFFFF" filled="t" stroked="t" coordsize="21600,21600" o:gfxdata="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D9y/l1wAAAAoBAAAPAAAAAAAA&#10;AAEAIAAAACIAAABkcnMvZG93bnJldi54bWxQSwECFAAUAAAACACHTuJADHbJrBMCAABGBAAADgAA&#10;AAAAAAABACAAAAAmAQAAZHJzL2Uyb0RvYy54bWxQSwUGAAAAAAYABgBZAQAAqwUAAAAA&#10;">
                <v:fill on="t" focussize="0,0"/>
                <v:stroke color="#000000" joinstyle="miter"/>
                <v:imagedata o:title=""/>
                <o:lock v:ext="edit" aspectratio="f"/>
                <v:textbox>
                  <w:txbxContent>
                    <w:p w14:paraId="224B04FB">
                      <w:pPr>
                        <w:jc w:val="center"/>
                        <w:rPr>
                          <w:sz w:val="32"/>
                        </w:rPr>
                      </w:pPr>
                    </w:p>
                    <w:p w14:paraId="2845930C">
                      <w:pPr>
                        <w:jc w:val="center"/>
                        <w:rPr>
                          <w:sz w:val="32"/>
                        </w:rPr>
                      </w:pPr>
                      <w:r>
                        <w:rPr>
                          <w:rFonts w:hint="eastAsia"/>
                          <w:sz w:val="32"/>
                        </w:rPr>
                        <w:t>反面</w:t>
                      </w:r>
                    </w:p>
                  </w:txbxContent>
                </v:textbox>
              </v:rect>
            </w:pict>
          </mc:Fallback>
        </mc:AlternateContent>
      </w:r>
      <w:r>
        <w:rPr>
          <w:rFonts w:ascii="宋体" w:hAnsi="宋体" w:eastAsia="宋体" w:cs="宋体"/>
          <w:kern w:val="0"/>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-403860</wp:posOffset>
                </wp:positionH>
                <wp:positionV relativeFrom="paragraph">
                  <wp:posOffset>90805</wp:posOffset>
                </wp:positionV>
                <wp:extent cx="2857500" cy="1493520"/>
                <wp:effectExtent l="4445" t="5080" r="8255" b="12700"/>
                <wp:wrapNone/>
                <wp:docPr id="3" name="矩形 3"/>
                <wp:cNvGraphicFramePr/>
                <a:graphic xmlns:a="http://schemas.openxmlformats.org/drawingml/2006/main">
                  <a:graphicData uri="http://schemas.microsoft.com/office/word/2010/wordprocessingShape">
                    <wps:wsp>
                      <wps:cNvSpPr/>
                      <wps:spPr>
                        <a:xfrm>
                          <a:off x="0" y="0"/>
                          <a:ext cx="2857500" cy="1493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F96CC0">
                            <w:pPr>
                              <w:jc w:val="center"/>
                              <w:rPr>
                                <w:sz w:val="32"/>
                              </w:rPr>
                            </w:pPr>
                          </w:p>
                          <w:p w14:paraId="3C0E0704">
                            <w:pPr>
                              <w:jc w:val="center"/>
                              <w:rPr>
                                <w:sz w:val="32"/>
                              </w:rPr>
                            </w:pPr>
                            <w:r>
                              <w:rPr>
                                <w:rFonts w:hint="eastAsia"/>
                                <w:sz w:val="32"/>
                              </w:rPr>
                              <w:t>正面</w:t>
                            </w:r>
                          </w:p>
                        </w:txbxContent>
                      </wps:txbx>
                      <wps:bodyPr wrap="square" upright="1"/>
                    </wps:wsp>
                  </a:graphicData>
                </a:graphic>
              </wp:anchor>
            </w:drawing>
          </mc:Choice>
          <mc:Fallback>
            <w:pict>
              <v:rect id="_x0000_s1026" o:spid="_x0000_s1026" o:spt="1" style="position:absolute;left:0pt;margin-left:-31.8pt;margin-top:7.15pt;height:117.6pt;width:225pt;z-index:251661312;mso-width-relative:page;mso-height-relative:page;" fillcolor="#FFFFFF" filled="t" stroked="t" coordsize="21600,21600" o:gfxdata="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AMDStgAAAAKAQAADwAAAAAA&#10;AAABACAAAAAiAAAAZHJzL2Rvd25yZXYueG1sUEsBAhQAFAAAAAgAh07iQMAurJ8TAgAARgQAAA4A&#10;AAAAAAAAAQAgAAAAJwEAAGRycy9lMm9Eb2MueG1sUEsFBgAAAAAGAAYAWQEAAKwFAAAAAA==&#10;">
                <v:fill on="t" focussize="0,0"/>
                <v:stroke color="#000000" joinstyle="miter"/>
                <v:imagedata o:title=""/>
                <o:lock v:ext="edit" aspectratio="f"/>
                <v:textbox>
                  <w:txbxContent>
                    <w:p w14:paraId="48F96CC0">
                      <w:pPr>
                        <w:jc w:val="center"/>
                        <w:rPr>
                          <w:sz w:val="32"/>
                        </w:rPr>
                      </w:pPr>
                    </w:p>
                    <w:p w14:paraId="3C0E0704">
                      <w:pPr>
                        <w:jc w:val="center"/>
                        <w:rPr>
                          <w:sz w:val="32"/>
                        </w:rPr>
                      </w:pPr>
                      <w:r>
                        <w:rPr>
                          <w:rFonts w:hint="eastAsia"/>
                          <w:sz w:val="32"/>
                        </w:rPr>
                        <w:t>正面</w:t>
                      </w:r>
                    </w:p>
                  </w:txbxContent>
                </v:textbox>
              </v:rect>
            </w:pict>
          </mc:Fallback>
        </mc:AlternateContent>
      </w:r>
    </w:p>
    <w:p w14:paraId="17EFE6C8">
      <w:pPr>
        <w:spacing w:line="360" w:lineRule="auto"/>
        <w:ind w:right="480" w:firstLine="5280" w:firstLineChars="2200"/>
        <w:rPr>
          <w:sz w:val="24"/>
          <w:highlight w:val="none"/>
        </w:rPr>
      </w:pPr>
    </w:p>
    <w:p w14:paraId="107D8BCD">
      <w:pPr>
        <w:spacing w:line="360" w:lineRule="auto"/>
        <w:ind w:right="480" w:firstLine="5280" w:firstLineChars="2200"/>
        <w:rPr>
          <w:sz w:val="24"/>
          <w:highlight w:val="none"/>
        </w:rPr>
      </w:pPr>
    </w:p>
    <w:p w14:paraId="5B430039">
      <w:pPr>
        <w:spacing w:line="360" w:lineRule="auto"/>
        <w:ind w:right="480" w:firstLine="5280" w:firstLineChars="2200"/>
        <w:rPr>
          <w:sz w:val="24"/>
          <w:highlight w:val="none"/>
        </w:rPr>
      </w:pPr>
    </w:p>
    <w:p w14:paraId="2D03373E">
      <w:pPr>
        <w:spacing w:line="360" w:lineRule="auto"/>
        <w:ind w:firstLine="1920" w:firstLineChars="800"/>
        <w:rPr>
          <w:rFonts w:ascii="宋体" w:hAnsi="宋体" w:cs="宋体"/>
          <w:sz w:val="24"/>
          <w:szCs w:val="21"/>
          <w:highlight w:val="none"/>
        </w:rPr>
      </w:pPr>
    </w:p>
    <w:p w14:paraId="3ED2218A">
      <w:pPr>
        <w:spacing w:line="360" w:lineRule="auto"/>
        <w:ind w:firstLine="1920" w:firstLineChars="800"/>
        <w:rPr>
          <w:rFonts w:ascii="宋体" w:hAnsi="宋体" w:cs="宋体"/>
          <w:sz w:val="24"/>
          <w:szCs w:val="21"/>
          <w:highlight w:val="none"/>
        </w:rPr>
      </w:pPr>
    </w:p>
    <w:p w14:paraId="1D6E0EF7">
      <w:pPr>
        <w:spacing w:line="360" w:lineRule="auto"/>
        <w:ind w:firstLine="1920" w:firstLineChars="800"/>
        <w:rPr>
          <w:rFonts w:ascii="宋体" w:hAnsi="宋体" w:eastAsia="宋体" w:cs="宋体"/>
          <w:sz w:val="24"/>
          <w:szCs w:val="21"/>
          <w:highlight w:val="none"/>
        </w:rPr>
      </w:pPr>
      <w:r>
        <w:rPr>
          <w:rFonts w:hint="eastAsia" w:ascii="宋体" w:hAnsi="宋体" w:cs="宋体"/>
          <w:sz w:val="24"/>
          <w:szCs w:val="21"/>
          <w:highlight w:val="none"/>
        </w:rPr>
        <w:t>（被授权人身份证正反面复印件粘贴处）</w:t>
      </w:r>
    </w:p>
    <w:p w14:paraId="6608FF4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1947AAF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49CC450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6A255A4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173C336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5AA12065">
      <w:pPr>
        <w:spacing w:line="360" w:lineRule="auto"/>
        <w:ind w:firstLine="480" w:firstLineChars="200"/>
        <w:rPr>
          <w:rFonts w:hint="eastAsia" w:ascii="仿宋_GB2312" w:hAnsi="等线" w:eastAsia="仿宋_GB2312" w:cs="宋体"/>
          <w:b/>
          <w:bCs/>
          <w:color w:val="FF0000"/>
          <w:kern w:val="0"/>
          <w:sz w:val="24"/>
          <w:szCs w:val="24"/>
          <w:highlight w:val="none"/>
          <w:lang w:val="en-US" w:eastAsia="zh-CN"/>
        </w:rPr>
      </w:pPr>
      <w:r>
        <w:rPr>
          <w:rFonts w:hint="eastAsia" w:ascii="宋体" w:hAnsi="宋体" w:eastAsia="宋体" w:cs="Times New Roman"/>
          <w:color w:val="000000"/>
          <w:sz w:val="24"/>
          <w:szCs w:val="24"/>
          <w:highlight w:val="none"/>
        </w:rPr>
        <w:t>投标人名称（公章）</w:t>
      </w:r>
      <w:r>
        <w:rPr>
          <w:rFonts w:hint="eastAsia"/>
          <w:sz w:val="24"/>
          <w:highlight w:val="none"/>
        </w:rPr>
        <w:t xml:space="preserve">  </w:t>
      </w:r>
      <w:r>
        <w:rPr>
          <w:sz w:val="24"/>
          <w:highlight w:val="none"/>
        </w:rPr>
        <w:t xml:space="preserve">                      </w:t>
      </w:r>
      <w:r>
        <w:rPr>
          <w:rFonts w:hint="eastAsia"/>
          <w:sz w:val="24"/>
          <w:highlight w:val="none"/>
          <w:lang w:val="en-US" w:eastAsia="zh-CN"/>
        </w:rPr>
        <w:t xml:space="preserve">       </w:t>
      </w:r>
      <w:r>
        <w:rPr>
          <w:sz w:val="24"/>
          <w:highlight w:val="none"/>
        </w:rPr>
        <w:t xml:space="preserve">   </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sectPr>
      <w:footerReference r:id="rId3" w:type="default"/>
      <w:pgSz w:w="11906" w:h="16838"/>
      <w:pgMar w:top="1587" w:right="1417" w:bottom="1134" w:left="1417" w:header="851" w:footer="85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4F81BD" w:sz="18" w:space="0"/>
      </w:tblBorders>
      <w:tblLayout w:type="fixed"/>
      <w:tblCellMar>
        <w:top w:w="58" w:type="dxa"/>
        <w:left w:w="115" w:type="dxa"/>
        <w:bottom w:w="58" w:type="dxa"/>
        <w:right w:w="115" w:type="dxa"/>
      </w:tblCellMar>
    </w:tblPr>
    <w:tblGrid>
      <w:gridCol w:w="9045"/>
    </w:tblGrid>
    <w:tr w14:paraId="5A94D029">
      <w:tblPrEx>
        <w:tblBorders>
          <w:top w:val="none" w:color="auto" w:sz="0" w:space="0"/>
          <w:left w:val="none" w:color="auto" w:sz="0" w:space="0"/>
          <w:bottom w:val="none" w:color="auto" w:sz="0" w:space="0"/>
          <w:right w:val="none" w:color="auto" w:sz="0" w:space="0"/>
          <w:insideH w:val="none" w:color="auto" w:sz="0" w:space="0"/>
          <w:insideV w:val="single" w:color="4F81BD" w:sz="18" w:space="0"/>
        </w:tblBorders>
        <w:tblCellMar>
          <w:top w:w="58" w:type="dxa"/>
          <w:left w:w="115" w:type="dxa"/>
          <w:bottom w:w="58" w:type="dxa"/>
          <w:right w:w="115" w:type="dxa"/>
        </w:tblCellMar>
      </w:tblPrEx>
      <w:tc>
        <w:tcPr>
          <w:tcW w:w="9045" w:type="dxa"/>
          <w:noWrap w:val="0"/>
          <w:vAlign w:val="top"/>
        </w:tcPr>
        <w:p w14:paraId="7E6221B6">
          <w:pPr>
            <w:pStyle w:val="8"/>
            <w:ind w:right="720"/>
            <w:jc w:val="center"/>
            <w:rPr>
              <w:color w:val="4F81BD"/>
            </w:rPr>
          </w:pPr>
          <w:r>
            <w:fldChar w:fldCharType="begin"/>
          </w:r>
          <w:r>
            <w:instrText xml:space="preserve">PAGE   \* MERGEFORMAT</w:instrText>
          </w:r>
          <w:r>
            <w:fldChar w:fldCharType="separate"/>
          </w:r>
          <w:r>
            <w:rPr>
              <w:color w:val="4F81BD"/>
              <w:lang w:val="zh-CN"/>
            </w:rPr>
            <w:t>-</w:t>
          </w:r>
          <w:r>
            <w:rPr>
              <w:lang/>
            </w:rPr>
            <w:t xml:space="preserve"> 1 -</w:t>
          </w:r>
          <w:r>
            <w:rPr>
              <w:color w:val="4F81BD"/>
            </w:rPr>
            <w:fldChar w:fldCharType="end"/>
          </w:r>
        </w:p>
      </w:tc>
    </w:tr>
  </w:tbl>
  <w:p w14:paraId="02933D1A">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isLgl/>
      <w:suff w:val="space"/>
      <w:lvlText w:val="%1"/>
      <w:lvlJc w:val="left"/>
      <w:pPr>
        <w:ind w:left="0" w:firstLine="0"/>
      </w:pPr>
      <w:rPr>
        <w:rFonts w:hint="eastAsia"/>
      </w:rPr>
    </w:lvl>
    <w:lvl w:ilvl="1" w:tentative="0">
      <w:start w:val="1"/>
      <w:numFmt w:val="decimal"/>
      <w:pStyle w:val="45"/>
      <w:isLgl/>
      <w:suff w:val="space"/>
      <w:lvlText w:val="%1.%2"/>
      <w:lvlJc w:val="left"/>
      <w:pPr>
        <w:ind w:left="426" w:firstLine="0"/>
      </w:pPr>
      <w:rPr>
        <w:rFonts w:hint="eastAsia"/>
        <w:sz w:val="28"/>
        <w:szCs w:val="28"/>
      </w:rPr>
    </w:lvl>
    <w:lvl w:ilvl="2" w:tentative="0">
      <w:start w:val="1"/>
      <w:numFmt w:val="decimal"/>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lvlRestart w:val="1"/>
      <w:isLgl/>
      <w:suff w:val="space"/>
      <w:lvlText w:val="图%1-%8"/>
      <w:lvlJc w:val="center"/>
      <w:pPr>
        <w:ind w:left="0" w:firstLine="0"/>
      </w:pPr>
      <w:rPr>
        <w:rFonts w:hint="eastAsia"/>
      </w:rPr>
    </w:lvl>
    <w:lvl w:ilvl="8" w:tentative="0">
      <w:start w:val="1"/>
      <w:numFmt w:val="decimal"/>
      <w:lvlRestart w:val="1"/>
      <w:isLgl/>
      <w:suff w:val="space"/>
      <w:lvlText w:val="表%1-%9"/>
      <w:lvlJc w:val="center"/>
      <w:pPr>
        <w:ind w:left="0" w:firstLine="0"/>
      </w:pPr>
      <w:rPr>
        <w:rFonts w:hint="eastAsia"/>
      </w:rPr>
    </w:lvl>
  </w:abstractNum>
  <w:abstractNum w:abstractNumId="1">
    <w:nsid w:val="00000008"/>
    <w:multiLevelType w:val="multilevel"/>
    <w:tmpl w:val="00000008"/>
    <w:lvl w:ilvl="0" w:tentative="0">
      <w:start w:val="1"/>
      <w:numFmt w:val="decimal"/>
      <w:pStyle w:val="47"/>
      <w:lvlText w:val="%1)"/>
      <w:lvlJc w:val="left"/>
      <w:pPr>
        <w:ind w:left="420" w:hanging="420"/>
      </w:pPr>
    </w:lvl>
    <w:lvl w:ilvl="1" w:tentative="0">
      <w:start w:val="1"/>
      <w:numFmt w:val="decimal"/>
      <w:lvlText w:val="%2)"/>
      <w:lvlJc w:val="left"/>
      <w:pPr>
        <w:tabs>
          <w:tab w:val="left" w:pos="687"/>
        </w:tabs>
        <w:ind w:left="687" w:hanging="420"/>
      </w:pPr>
      <w:rPr>
        <w:rFonts w:hint="eastAsia"/>
      </w:rPr>
    </w:lvl>
    <w:lvl w:ilvl="2" w:tentative="0">
      <w:start w:val="1"/>
      <w:numFmt w:val="lowerRoman"/>
      <w:lvlText w:val="%3."/>
      <w:lvlJc w:val="right"/>
      <w:pPr>
        <w:ind w:left="1107" w:hanging="420"/>
      </w:pPr>
    </w:lvl>
    <w:lvl w:ilvl="3" w:tentative="0">
      <w:start w:val="1"/>
      <w:numFmt w:val="decimal"/>
      <w:lvlText w:val="%4."/>
      <w:lvlJc w:val="left"/>
      <w:pPr>
        <w:ind w:left="1527" w:hanging="420"/>
      </w:pPr>
    </w:lvl>
    <w:lvl w:ilvl="4" w:tentative="0">
      <w:start w:val="1"/>
      <w:numFmt w:val="lowerLetter"/>
      <w:lvlText w:val="%5)"/>
      <w:lvlJc w:val="left"/>
      <w:pPr>
        <w:ind w:left="1947" w:hanging="420"/>
      </w:pPr>
    </w:lvl>
    <w:lvl w:ilvl="5" w:tentative="0">
      <w:start w:val="1"/>
      <w:numFmt w:val="lowerRoman"/>
      <w:lvlText w:val="%6."/>
      <w:lvlJc w:val="right"/>
      <w:pPr>
        <w:ind w:left="2367" w:hanging="420"/>
      </w:pPr>
    </w:lvl>
    <w:lvl w:ilvl="6" w:tentative="0">
      <w:start w:val="1"/>
      <w:numFmt w:val="decimal"/>
      <w:lvlText w:val="%7."/>
      <w:lvlJc w:val="left"/>
      <w:pPr>
        <w:ind w:left="2787" w:hanging="420"/>
      </w:pPr>
    </w:lvl>
    <w:lvl w:ilvl="7" w:tentative="0">
      <w:start w:val="1"/>
      <w:numFmt w:val="lowerLetter"/>
      <w:lvlText w:val="%8)"/>
      <w:lvlJc w:val="left"/>
      <w:pPr>
        <w:ind w:left="3207" w:hanging="420"/>
      </w:pPr>
    </w:lvl>
    <w:lvl w:ilvl="8" w:tentative="0">
      <w:start w:val="1"/>
      <w:numFmt w:val="lowerRoman"/>
      <w:lvlText w:val="%9."/>
      <w:lvlJc w:val="right"/>
      <w:pPr>
        <w:ind w:left="3627" w:hanging="420"/>
      </w:pPr>
    </w:lvl>
  </w:abstractNum>
  <w:abstractNum w:abstractNumId="2">
    <w:nsid w:val="29ED32B8"/>
    <w:multiLevelType w:val="multilevel"/>
    <w:tmpl w:val="29ED32B8"/>
    <w:lvl w:ilvl="0" w:tentative="0">
      <w:start w:val="1"/>
      <w:numFmt w:val="decimal"/>
      <w:lvlText w:val="（%1）"/>
      <w:lvlJc w:val="left"/>
      <w:pPr>
        <w:tabs>
          <w:tab w:val="left" w:pos="1140"/>
        </w:tabs>
        <w:ind w:left="1140" w:hanging="72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40C79D8B"/>
    <w:multiLevelType w:val="singleLevel"/>
    <w:tmpl w:val="40C79D8B"/>
    <w:lvl w:ilvl="0" w:tentative="0">
      <w:start w:val="4"/>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OWVlYjBkMmI4MTAxNmUzN2I2MjY1ZDhmYjI0NGUifQ=="/>
  </w:docVars>
  <w:rsids>
    <w:rsidRoot w:val="003447BF"/>
    <w:rsid w:val="000014D3"/>
    <w:rsid w:val="00001DCB"/>
    <w:rsid w:val="00004C57"/>
    <w:rsid w:val="000056AD"/>
    <w:rsid w:val="00005AF4"/>
    <w:rsid w:val="00006391"/>
    <w:rsid w:val="00007986"/>
    <w:rsid w:val="00010983"/>
    <w:rsid w:val="00010BB4"/>
    <w:rsid w:val="000117DF"/>
    <w:rsid w:val="000126A7"/>
    <w:rsid w:val="000133F8"/>
    <w:rsid w:val="00013B94"/>
    <w:rsid w:val="000140D2"/>
    <w:rsid w:val="000142C2"/>
    <w:rsid w:val="00016CB2"/>
    <w:rsid w:val="00022BFC"/>
    <w:rsid w:val="00023513"/>
    <w:rsid w:val="00024102"/>
    <w:rsid w:val="00025E3D"/>
    <w:rsid w:val="00025E68"/>
    <w:rsid w:val="00027BFD"/>
    <w:rsid w:val="000304EA"/>
    <w:rsid w:val="00031F40"/>
    <w:rsid w:val="00032F3A"/>
    <w:rsid w:val="00033243"/>
    <w:rsid w:val="0003453C"/>
    <w:rsid w:val="00035188"/>
    <w:rsid w:val="00035800"/>
    <w:rsid w:val="000370BC"/>
    <w:rsid w:val="000426B5"/>
    <w:rsid w:val="00043761"/>
    <w:rsid w:val="000437B4"/>
    <w:rsid w:val="00043B31"/>
    <w:rsid w:val="00043E7D"/>
    <w:rsid w:val="00044ABE"/>
    <w:rsid w:val="00045E36"/>
    <w:rsid w:val="00046238"/>
    <w:rsid w:val="0005018E"/>
    <w:rsid w:val="00051852"/>
    <w:rsid w:val="0005298D"/>
    <w:rsid w:val="000547D0"/>
    <w:rsid w:val="00055ED1"/>
    <w:rsid w:val="00060239"/>
    <w:rsid w:val="0006053F"/>
    <w:rsid w:val="000606FE"/>
    <w:rsid w:val="0006084C"/>
    <w:rsid w:val="00060FC1"/>
    <w:rsid w:val="000626B3"/>
    <w:rsid w:val="00066685"/>
    <w:rsid w:val="00067867"/>
    <w:rsid w:val="0007042D"/>
    <w:rsid w:val="00071741"/>
    <w:rsid w:val="00071B86"/>
    <w:rsid w:val="000722DE"/>
    <w:rsid w:val="00073983"/>
    <w:rsid w:val="00074924"/>
    <w:rsid w:val="00074AC3"/>
    <w:rsid w:val="00077B24"/>
    <w:rsid w:val="00080316"/>
    <w:rsid w:val="0008080E"/>
    <w:rsid w:val="00082151"/>
    <w:rsid w:val="000825CD"/>
    <w:rsid w:val="00083710"/>
    <w:rsid w:val="00083C90"/>
    <w:rsid w:val="0008454C"/>
    <w:rsid w:val="00086313"/>
    <w:rsid w:val="000940E3"/>
    <w:rsid w:val="00094EC9"/>
    <w:rsid w:val="000A0C6B"/>
    <w:rsid w:val="000A0EDD"/>
    <w:rsid w:val="000A202D"/>
    <w:rsid w:val="000A2679"/>
    <w:rsid w:val="000A2BA0"/>
    <w:rsid w:val="000A5072"/>
    <w:rsid w:val="000A54C5"/>
    <w:rsid w:val="000A78C4"/>
    <w:rsid w:val="000B0B79"/>
    <w:rsid w:val="000B0F49"/>
    <w:rsid w:val="000B1727"/>
    <w:rsid w:val="000B193E"/>
    <w:rsid w:val="000B1F25"/>
    <w:rsid w:val="000B4F01"/>
    <w:rsid w:val="000B5234"/>
    <w:rsid w:val="000B527D"/>
    <w:rsid w:val="000B6DD8"/>
    <w:rsid w:val="000B705B"/>
    <w:rsid w:val="000C1BB6"/>
    <w:rsid w:val="000D0F55"/>
    <w:rsid w:val="000D14A9"/>
    <w:rsid w:val="000D3325"/>
    <w:rsid w:val="000D486E"/>
    <w:rsid w:val="000D4D7C"/>
    <w:rsid w:val="000D4EA2"/>
    <w:rsid w:val="000D5ACE"/>
    <w:rsid w:val="000D6C0C"/>
    <w:rsid w:val="000D7A5B"/>
    <w:rsid w:val="000E141B"/>
    <w:rsid w:val="000E329A"/>
    <w:rsid w:val="000E356E"/>
    <w:rsid w:val="000E3714"/>
    <w:rsid w:val="000E70CB"/>
    <w:rsid w:val="000F02A3"/>
    <w:rsid w:val="000F3A83"/>
    <w:rsid w:val="000F4027"/>
    <w:rsid w:val="000F42C8"/>
    <w:rsid w:val="000F456F"/>
    <w:rsid w:val="000F5488"/>
    <w:rsid w:val="00100754"/>
    <w:rsid w:val="00101577"/>
    <w:rsid w:val="00102A52"/>
    <w:rsid w:val="00106078"/>
    <w:rsid w:val="00112A18"/>
    <w:rsid w:val="0011354F"/>
    <w:rsid w:val="00114375"/>
    <w:rsid w:val="00114A6A"/>
    <w:rsid w:val="001160D8"/>
    <w:rsid w:val="0012053A"/>
    <w:rsid w:val="00120F1C"/>
    <w:rsid w:val="001228DF"/>
    <w:rsid w:val="00124DC8"/>
    <w:rsid w:val="001258FA"/>
    <w:rsid w:val="00126ED2"/>
    <w:rsid w:val="001302DE"/>
    <w:rsid w:val="00131694"/>
    <w:rsid w:val="00131E0F"/>
    <w:rsid w:val="00134429"/>
    <w:rsid w:val="0013630E"/>
    <w:rsid w:val="00136356"/>
    <w:rsid w:val="001369FF"/>
    <w:rsid w:val="00140381"/>
    <w:rsid w:val="0014056C"/>
    <w:rsid w:val="00140736"/>
    <w:rsid w:val="00141AF1"/>
    <w:rsid w:val="00143841"/>
    <w:rsid w:val="001458B6"/>
    <w:rsid w:val="00147091"/>
    <w:rsid w:val="001471D4"/>
    <w:rsid w:val="0015024C"/>
    <w:rsid w:val="00152193"/>
    <w:rsid w:val="00152259"/>
    <w:rsid w:val="001531DD"/>
    <w:rsid w:val="001533AA"/>
    <w:rsid w:val="00153684"/>
    <w:rsid w:val="001545AF"/>
    <w:rsid w:val="00156266"/>
    <w:rsid w:val="00156A1E"/>
    <w:rsid w:val="00157B9E"/>
    <w:rsid w:val="001609DF"/>
    <w:rsid w:val="00161531"/>
    <w:rsid w:val="00162435"/>
    <w:rsid w:val="00162592"/>
    <w:rsid w:val="00162999"/>
    <w:rsid w:val="001649C3"/>
    <w:rsid w:val="0016501A"/>
    <w:rsid w:val="001652C8"/>
    <w:rsid w:val="001656BB"/>
    <w:rsid w:val="001706CF"/>
    <w:rsid w:val="001708B6"/>
    <w:rsid w:val="00172ADC"/>
    <w:rsid w:val="001749E7"/>
    <w:rsid w:val="00174A06"/>
    <w:rsid w:val="0017622A"/>
    <w:rsid w:val="00176B3A"/>
    <w:rsid w:val="00180DE7"/>
    <w:rsid w:val="0018208D"/>
    <w:rsid w:val="00186A61"/>
    <w:rsid w:val="00187848"/>
    <w:rsid w:val="0019057F"/>
    <w:rsid w:val="001909B6"/>
    <w:rsid w:val="00191E43"/>
    <w:rsid w:val="001935A3"/>
    <w:rsid w:val="001953D9"/>
    <w:rsid w:val="001A0476"/>
    <w:rsid w:val="001A0538"/>
    <w:rsid w:val="001A1880"/>
    <w:rsid w:val="001A7750"/>
    <w:rsid w:val="001B00E7"/>
    <w:rsid w:val="001B13F5"/>
    <w:rsid w:val="001B1B87"/>
    <w:rsid w:val="001B1F29"/>
    <w:rsid w:val="001B48B7"/>
    <w:rsid w:val="001B644A"/>
    <w:rsid w:val="001B6A93"/>
    <w:rsid w:val="001C04E2"/>
    <w:rsid w:val="001C0D7A"/>
    <w:rsid w:val="001C109C"/>
    <w:rsid w:val="001C20B6"/>
    <w:rsid w:val="001C3215"/>
    <w:rsid w:val="001C3E67"/>
    <w:rsid w:val="001C44ED"/>
    <w:rsid w:val="001C5908"/>
    <w:rsid w:val="001C5E27"/>
    <w:rsid w:val="001C70F9"/>
    <w:rsid w:val="001D0558"/>
    <w:rsid w:val="001D12D4"/>
    <w:rsid w:val="001D1AB3"/>
    <w:rsid w:val="001D1DF0"/>
    <w:rsid w:val="001D6A5D"/>
    <w:rsid w:val="001E0B6D"/>
    <w:rsid w:val="001E1AA5"/>
    <w:rsid w:val="001E1FE5"/>
    <w:rsid w:val="001E2AFF"/>
    <w:rsid w:val="001E397B"/>
    <w:rsid w:val="001E39F6"/>
    <w:rsid w:val="001E4691"/>
    <w:rsid w:val="001E63F0"/>
    <w:rsid w:val="001F2129"/>
    <w:rsid w:val="001F226A"/>
    <w:rsid w:val="001F25F8"/>
    <w:rsid w:val="001F2F10"/>
    <w:rsid w:val="001F337F"/>
    <w:rsid w:val="001F46E7"/>
    <w:rsid w:val="001F73CB"/>
    <w:rsid w:val="00201687"/>
    <w:rsid w:val="00201D34"/>
    <w:rsid w:val="0020244E"/>
    <w:rsid w:val="002033F6"/>
    <w:rsid w:val="00203CED"/>
    <w:rsid w:val="00203CF7"/>
    <w:rsid w:val="002047D2"/>
    <w:rsid w:val="00205586"/>
    <w:rsid w:val="00206B5F"/>
    <w:rsid w:val="00206D6F"/>
    <w:rsid w:val="002075B3"/>
    <w:rsid w:val="00211C25"/>
    <w:rsid w:val="002148A7"/>
    <w:rsid w:val="00215597"/>
    <w:rsid w:val="002157D9"/>
    <w:rsid w:val="0021644E"/>
    <w:rsid w:val="00216AA3"/>
    <w:rsid w:val="002178FD"/>
    <w:rsid w:val="00223BB6"/>
    <w:rsid w:val="00223FED"/>
    <w:rsid w:val="00225D72"/>
    <w:rsid w:val="002272FC"/>
    <w:rsid w:val="0023452A"/>
    <w:rsid w:val="00234B42"/>
    <w:rsid w:val="0023641F"/>
    <w:rsid w:val="0023657F"/>
    <w:rsid w:val="00236CD7"/>
    <w:rsid w:val="00236F49"/>
    <w:rsid w:val="002401A4"/>
    <w:rsid w:val="00240742"/>
    <w:rsid w:val="00240890"/>
    <w:rsid w:val="00243948"/>
    <w:rsid w:val="002444B8"/>
    <w:rsid w:val="00245CCD"/>
    <w:rsid w:val="002510B3"/>
    <w:rsid w:val="0025110B"/>
    <w:rsid w:val="002516D9"/>
    <w:rsid w:val="0025278D"/>
    <w:rsid w:val="00253E44"/>
    <w:rsid w:val="00254642"/>
    <w:rsid w:val="0025474D"/>
    <w:rsid w:val="00255AC4"/>
    <w:rsid w:val="00256680"/>
    <w:rsid w:val="00257024"/>
    <w:rsid w:val="002571AA"/>
    <w:rsid w:val="002575B7"/>
    <w:rsid w:val="00261779"/>
    <w:rsid w:val="00264203"/>
    <w:rsid w:val="0026442A"/>
    <w:rsid w:val="002650E7"/>
    <w:rsid w:val="00265C5C"/>
    <w:rsid w:val="002714D2"/>
    <w:rsid w:val="00271A2C"/>
    <w:rsid w:val="00272D15"/>
    <w:rsid w:val="0027316E"/>
    <w:rsid w:val="00273F35"/>
    <w:rsid w:val="00274153"/>
    <w:rsid w:val="00274683"/>
    <w:rsid w:val="0027584C"/>
    <w:rsid w:val="0028000E"/>
    <w:rsid w:val="002806B7"/>
    <w:rsid w:val="00285573"/>
    <w:rsid w:val="00285D9D"/>
    <w:rsid w:val="002868E1"/>
    <w:rsid w:val="002908CC"/>
    <w:rsid w:val="00294E9C"/>
    <w:rsid w:val="00296467"/>
    <w:rsid w:val="00297CE2"/>
    <w:rsid w:val="00297E7F"/>
    <w:rsid w:val="002A008C"/>
    <w:rsid w:val="002A00F9"/>
    <w:rsid w:val="002A2318"/>
    <w:rsid w:val="002A2AAF"/>
    <w:rsid w:val="002A5F2A"/>
    <w:rsid w:val="002B032B"/>
    <w:rsid w:val="002B12F1"/>
    <w:rsid w:val="002B1789"/>
    <w:rsid w:val="002B2899"/>
    <w:rsid w:val="002B4519"/>
    <w:rsid w:val="002B5016"/>
    <w:rsid w:val="002B510D"/>
    <w:rsid w:val="002B5135"/>
    <w:rsid w:val="002B5881"/>
    <w:rsid w:val="002B5BE4"/>
    <w:rsid w:val="002B6573"/>
    <w:rsid w:val="002B6E49"/>
    <w:rsid w:val="002C44D2"/>
    <w:rsid w:val="002C4A24"/>
    <w:rsid w:val="002C662D"/>
    <w:rsid w:val="002D037B"/>
    <w:rsid w:val="002D046C"/>
    <w:rsid w:val="002D1F57"/>
    <w:rsid w:val="002D3628"/>
    <w:rsid w:val="002D478F"/>
    <w:rsid w:val="002D50D1"/>
    <w:rsid w:val="002D700F"/>
    <w:rsid w:val="002D742C"/>
    <w:rsid w:val="002D79E9"/>
    <w:rsid w:val="002E08D2"/>
    <w:rsid w:val="002E0BDC"/>
    <w:rsid w:val="002E3F33"/>
    <w:rsid w:val="002E556A"/>
    <w:rsid w:val="002F0674"/>
    <w:rsid w:val="002F2C42"/>
    <w:rsid w:val="002F2D1C"/>
    <w:rsid w:val="002F4F8D"/>
    <w:rsid w:val="002F4F93"/>
    <w:rsid w:val="002F5F84"/>
    <w:rsid w:val="002F73C1"/>
    <w:rsid w:val="00300672"/>
    <w:rsid w:val="0030183C"/>
    <w:rsid w:val="00302A83"/>
    <w:rsid w:val="00303AD0"/>
    <w:rsid w:val="00304431"/>
    <w:rsid w:val="003046ED"/>
    <w:rsid w:val="00304E5C"/>
    <w:rsid w:val="003058C6"/>
    <w:rsid w:val="003058F1"/>
    <w:rsid w:val="0031082A"/>
    <w:rsid w:val="00312AD3"/>
    <w:rsid w:val="00312CEE"/>
    <w:rsid w:val="0031577A"/>
    <w:rsid w:val="00316501"/>
    <w:rsid w:val="0031690F"/>
    <w:rsid w:val="003222CF"/>
    <w:rsid w:val="0032300C"/>
    <w:rsid w:val="00323B1A"/>
    <w:rsid w:val="00323D93"/>
    <w:rsid w:val="00324A3B"/>
    <w:rsid w:val="00326B4B"/>
    <w:rsid w:val="00331BD6"/>
    <w:rsid w:val="00334FCD"/>
    <w:rsid w:val="00335566"/>
    <w:rsid w:val="00336641"/>
    <w:rsid w:val="00337328"/>
    <w:rsid w:val="00337877"/>
    <w:rsid w:val="00340A81"/>
    <w:rsid w:val="003447BF"/>
    <w:rsid w:val="00344B0C"/>
    <w:rsid w:val="003450FE"/>
    <w:rsid w:val="0034529E"/>
    <w:rsid w:val="003453B7"/>
    <w:rsid w:val="00345A9C"/>
    <w:rsid w:val="00347301"/>
    <w:rsid w:val="0034785B"/>
    <w:rsid w:val="0035039C"/>
    <w:rsid w:val="00351D47"/>
    <w:rsid w:val="0035253E"/>
    <w:rsid w:val="00355883"/>
    <w:rsid w:val="00355F34"/>
    <w:rsid w:val="0035636F"/>
    <w:rsid w:val="00360B4A"/>
    <w:rsid w:val="003635F7"/>
    <w:rsid w:val="0036526F"/>
    <w:rsid w:val="00367A62"/>
    <w:rsid w:val="00367B96"/>
    <w:rsid w:val="00367FA2"/>
    <w:rsid w:val="003729C5"/>
    <w:rsid w:val="00372F98"/>
    <w:rsid w:val="00374800"/>
    <w:rsid w:val="00376454"/>
    <w:rsid w:val="003830EA"/>
    <w:rsid w:val="0038469B"/>
    <w:rsid w:val="003854C5"/>
    <w:rsid w:val="00386E3B"/>
    <w:rsid w:val="00390585"/>
    <w:rsid w:val="0039243F"/>
    <w:rsid w:val="00396005"/>
    <w:rsid w:val="003962B6"/>
    <w:rsid w:val="003A142B"/>
    <w:rsid w:val="003A22A0"/>
    <w:rsid w:val="003A3633"/>
    <w:rsid w:val="003A38A3"/>
    <w:rsid w:val="003A4AB0"/>
    <w:rsid w:val="003A5169"/>
    <w:rsid w:val="003A5AB3"/>
    <w:rsid w:val="003A7E9B"/>
    <w:rsid w:val="003B104C"/>
    <w:rsid w:val="003B1895"/>
    <w:rsid w:val="003B2025"/>
    <w:rsid w:val="003B213A"/>
    <w:rsid w:val="003B224A"/>
    <w:rsid w:val="003B34A4"/>
    <w:rsid w:val="003B4A6D"/>
    <w:rsid w:val="003B6F25"/>
    <w:rsid w:val="003C0297"/>
    <w:rsid w:val="003C0D3E"/>
    <w:rsid w:val="003C1D15"/>
    <w:rsid w:val="003C4446"/>
    <w:rsid w:val="003C4BB9"/>
    <w:rsid w:val="003C51CE"/>
    <w:rsid w:val="003C6E04"/>
    <w:rsid w:val="003C6FCB"/>
    <w:rsid w:val="003C7AC5"/>
    <w:rsid w:val="003D192F"/>
    <w:rsid w:val="003D2165"/>
    <w:rsid w:val="003D24E4"/>
    <w:rsid w:val="003D59B7"/>
    <w:rsid w:val="003D6390"/>
    <w:rsid w:val="003D77DF"/>
    <w:rsid w:val="003D7BF1"/>
    <w:rsid w:val="003E1132"/>
    <w:rsid w:val="003E178A"/>
    <w:rsid w:val="003E2B07"/>
    <w:rsid w:val="003E2F40"/>
    <w:rsid w:val="003E523A"/>
    <w:rsid w:val="003E7138"/>
    <w:rsid w:val="003E7A55"/>
    <w:rsid w:val="003F1410"/>
    <w:rsid w:val="003F18EF"/>
    <w:rsid w:val="003F2A8C"/>
    <w:rsid w:val="003F325B"/>
    <w:rsid w:val="003F3692"/>
    <w:rsid w:val="004000DA"/>
    <w:rsid w:val="004007F3"/>
    <w:rsid w:val="00401B8E"/>
    <w:rsid w:val="00403331"/>
    <w:rsid w:val="00404B70"/>
    <w:rsid w:val="00405081"/>
    <w:rsid w:val="004060BF"/>
    <w:rsid w:val="004068B2"/>
    <w:rsid w:val="00410959"/>
    <w:rsid w:val="00412A67"/>
    <w:rsid w:val="00413830"/>
    <w:rsid w:val="00415E31"/>
    <w:rsid w:val="004171AC"/>
    <w:rsid w:val="00417467"/>
    <w:rsid w:val="00417894"/>
    <w:rsid w:val="00417AE1"/>
    <w:rsid w:val="00420A69"/>
    <w:rsid w:val="0042112B"/>
    <w:rsid w:val="0042161E"/>
    <w:rsid w:val="00422D4B"/>
    <w:rsid w:val="004233B7"/>
    <w:rsid w:val="004242C0"/>
    <w:rsid w:val="00424959"/>
    <w:rsid w:val="00424CEC"/>
    <w:rsid w:val="00425890"/>
    <w:rsid w:val="00426644"/>
    <w:rsid w:val="00427430"/>
    <w:rsid w:val="00431929"/>
    <w:rsid w:val="00432CA1"/>
    <w:rsid w:val="00432D9A"/>
    <w:rsid w:val="00432F85"/>
    <w:rsid w:val="004331B4"/>
    <w:rsid w:val="004338F3"/>
    <w:rsid w:val="00433B7C"/>
    <w:rsid w:val="00435C8F"/>
    <w:rsid w:val="004368A6"/>
    <w:rsid w:val="004408FF"/>
    <w:rsid w:val="00440B29"/>
    <w:rsid w:val="00440DB7"/>
    <w:rsid w:val="004419A1"/>
    <w:rsid w:val="00441EA6"/>
    <w:rsid w:val="004439A5"/>
    <w:rsid w:val="00444400"/>
    <w:rsid w:val="00445613"/>
    <w:rsid w:val="00446B20"/>
    <w:rsid w:val="0044784B"/>
    <w:rsid w:val="00450820"/>
    <w:rsid w:val="004525CF"/>
    <w:rsid w:val="00454AB3"/>
    <w:rsid w:val="00455615"/>
    <w:rsid w:val="004558A9"/>
    <w:rsid w:val="00455952"/>
    <w:rsid w:val="00456A3C"/>
    <w:rsid w:val="00461D9C"/>
    <w:rsid w:val="00461E1E"/>
    <w:rsid w:val="00463340"/>
    <w:rsid w:val="004639DA"/>
    <w:rsid w:val="004640C9"/>
    <w:rsid w:val="00464FFB"/>
    <w:rsid w:val="00465A21"/>
    <w:rsid w:val="004679AC"/>
    <w:rsid w:val="00482C09"/>
    <w:rsid w:val="004843CF"/>
    <w:rsid w:val="00484890"/>
    <w:rsid w:val="00484DAB"/>
    <w:rsid w:val="00484DBA"/>
    <w:rsid w:val="00490786"/>
    <w:rsid w:val="00490A80"/>
    <w:rsid w:val="00490A89"/>
    <w:rsid w:val="00492A36"/>
    <w:rsid w:val="00492E73"/>
    <w:rsid w:val="0049408B"/>
    <w:rsid w:val="0049581C"/>
    <w:rsid w:val="004A0138"/>
    <w:rsid w:val="004A2295"/>
    <w:rsid w:val="004A28D1"/>
    <w:rsid w:val="004A6294"/>
    <w:rsid w:val="004A650B"/>
    <w:rsid w:val="004A73B5"/>
    <w:rsid w:val="004A78E9"/>
    <w:rsid w:val="004B0197"/>
    <w:rsid w:val="004B08A6"/>
    <w:rsid w:val="004B2F5D"/>
    <w:rsid w:val="004B4464"/>
    <w:rsid w:val="004B486A"/>
    <w:rsid w:val="004B58F5"/>
    <w:rsid w:val="004B7614"/>
    <w:rsid w:val="004C15BD"/>
    <w:rsid w:val="004C2141"/>
    <w:rsid w:val="004C485E"/>
    <w:rsid w:val="004C5E79"/>
    <w:rsid w:val="004C60F2"/>
    <w:rsid w:val="004D082E"/>
    <w:rsid w:val="004D177C"/>
    <w:rsid w:val="004D1DEE"/>
    <w:rsid w:val="004D26A6"/>
    <w:rsid w:val="004D3345"/>
    <w:rsid w:val="004D3541"/>
    <w:rsid w:val="004D70FC"/>
    <w:rsid w:val="004F2DD3"/>
    <w:rsid w:val="004F4585"/>
    <w:rsid w:val="004F47A8"/>
    <w:rsid w:val="004F50BC"/>
    <w:rsid w:val="004F5278"/>
    <w:rsid w:val="004F5827"/>
    <w:rsid w:val="004F5E7F"/>
    <w:rsid w:val="004F6792"/>
    <w:rsid w:val="004F726A"/>
    <w:rsid w:val="004F78CE"/>
    <w:rsid w:val="00500C55"/>
    <w:rsid w:val="00501A26"/>
    <w:rsid w:val="0050287F"/>
    <w:rsid w:val="00505662"/>
    <w:rsid w:val="00506771"/>
    <w:rsid w:val="00506F0F"/>
    <w:rsid w:val="00507DB0"/>
    <w:rsid w:val="005108CD"/>
    <w:rsid w:val="00513345"/>
    <w:rsid w:val="00513892"/>
    <w:rsid w:val="00513A16"/>
    <w:rsid w:val="00513D94"/>
    <w:rsid w:val="005141A1"/>
    <w:rsid w:val="00515BAC"/>
    <w:rsid w:val="00516EF7"/>
    <w:rsid w:val="005207CB"/>
    <w:rsid w:val="005225BE"/>
    <w:rsid w:val="005258B1"/>
    <w:rsid w:val="005259EE"/>
    <w:rsid w:val="0052786D"/>
    <w:rsid w:val="00527CA1"/>
    <w:rsid w:val="00530470"/>
    <w:rsid w:val="00530539"/>
    <w:rsid w:val="0053060F"/>
    <w:rsid w:val="005327D0"/>
    <w:rsid w:val="00534424"/>
    <w:rsid w:val="00535477"/>
    <w:rsid w:val="00537577"/>
    <w:rsid w:val="00537F86"/>
    <w:rsid w:val="005404C5"/>
    <w:rsid w:val="00541DDC"/>
    <w:rsid w:val="005435FD"/>
    <w:rsid w:val="00543AA0"/>
    <w:rsid w:val="005450F5"/>
    <w:rsid w:val="0055043D"/>
    <w:rsid w:val="00550E27"/>
    <w:rsid w:val="00551123"/>
    <w:rsid w:val="00551492"/>
    <w:rsid w:val="005515D7"/>
    <w:rsid w:val="00562547"/>
    <w:rsid w:val="0056267F"/>
    <w:rsid w:val="00562D9E"/>
    <w:rsid w:val="00562F3F"/>
    <w:rsid w:val="00563AA4"/>
    <w:rsid w:val="00565140"/>
    <w:rsid w:val="005666BC"/>
    <w:rsid w:val="00567EE7"/>
    <w:rsid w:val="00570BBF"/>
    <w:rsid w:val="00573BA8"/>
    <w:rsid w:val="00574487"/>
    <w:rsid w:val="005746D2"/>
    <w:rsid w:val="0057534A"/>
    <w:rsid w:val="005754CE"/>
    <w:rsid w:val="00576694"/>
    <w:rsid w:val="00580BF4"/>
    <w:rsid w:val="00581E43"/>
    <w:rsid w:val="00582FC4"/>
    <w:rsid w:val="0058351A"/>
    <w:rsid w:val="0058593C"/>
    <w:rsid w:val="00586ED1"/>
    <w:rsid w:val="0058737F"/>
    <w:rsid w:val="005877F8"/>
    <w:rsid w:val="00590E34"/>
    <w:rsid w:val="00591228"/>
    <w:rsid w:val="00591B98"/>
    <w:rsid w:val="00591FD1"/>
    <w:rsid w:val="00593602"/>
    <w:rsid w:val="005A0210"/>
    <w:rsid w:val="005A58E1"/>
    <w:rsid w:val="005B1BF3"/>
    <w:rsid w:val="005B2373"/>
    <w:rsid w:val="005B7D81"/>
    <w:rsid w:val="005C1667"/>
    <w:rsid w:val="005C1F5E"/>
    <w:rsid w:val="005C223C"/>
    <w:rsid w:val="005C35EA"/>
    <w:rsid w:val="005C36E5"/>
    <w:rsid w:val="005C3EBF"/>
    <w:rsid w:val="005C43D6"/>
    <w:rsid w:val="005C520D"/>
    <w:rsid w:val="005C532F"/>
    <w:rsid w:val="005C57D4"/>
    <w:rsid w:val="005C61FD"/>
    <w:rsid w:val="005C662C"/>
    <w:rsid w:val="005C7618"/>
    <w:rsid w:val="005D2F1F"/>
    <w:rsid w:val="005D31AB"/>
    <w:rsid w:val="005D569B"/>
    <w:rsid w:val="005D59EF"/>
    <w:rsid w:val="005D5FC7"/>
    <w:rsid w:val="005D63A5"/>
    <w:rsid w:val="005D6F85"/>
    <w:rsid w:val="005D79E0"/>
    <w:rsid w:val="005D7CEF"/>
    <w:rsid w:val="005D7E2E"/>
    <w:rsid w:val="005E07C8"/>
    <w:rsid w:val="005E1353"/>
    <w:rsid w:val="005E1D4F"/>
    <w:rsid w:val="005E276D"/>
    <w:rsid w:val="005E4709"/>
    <w:rsid w:val="005E50FA"/>
    <w:rsid w:val="005E637D"/>
    <w:rsid w:val="005E719A"/>
    <w:rsid w:val="005F6175"/>
    <w:rsid w:val="005F6885"/>
    <w:rsid w:val="005F6EEB"/>
    <w:rsid w:val="005F76A1"/>
    <w:rsid w:val="005F79B1"/>
    <w:rsid w:val="00601DB5"/>
    <w:rsid w:val="0060404B"/>
    <w:rsid w:val="006053FA"/>
    <w:rsid w:val="00607354"/>
    <w:rsid w:val="006073AC"/>
    <w:rsid w:val="00610828"/>
    <w:rsid w:val="00610EC5"/>
    <w:rsid w:val="00612527"/>
    <w:rsid w:val="00612EA2"/>
    <w:rsid w:val="00614E7B"/>
    <w:rsid w:val="006155BE"/>
    <w:rsid w:val="006160AC"/>
    <w:rsid w:val="006200EB"/>
    <w:rsid w:val="006204FB"/>
    <w:rsid w:val="00622144"/>
    <w:rsid w:val="00622EBF"/>
    <w:rsid w:val="00624CCB"/>
    <w:rsid w:val="00627715"/>
    <w:rsid w:val="0063036D"/>
    <w:rsid w:val="006309DA"/>
    <w:rsid w:val="00630E44"/>
    <w:rsid w:val="00630EF0"/>
    <w:rsid w:val="00632470"/>
    <w:rsid w:val="006329B9"/>
    <w:rsid w:val="00632AFC"/>
    <w:rsid w:val="00632CE5"/>
    <w:rsid w:val="0063460A"/>
    <w:rsid w:val="006348DA"/>
    <w:rsid w:val="00635B90"/>
    <w:rsid w:val="00637C80"/>
    <w:rsid w:val="00640E88"/>
    <w:rsid w:val="006411A5"/>
    <w:rsid w:val="006422D1"/>
    <w:rsid w:val="006424EF"/>
    <w:rsid w:val="0064270E"/>
    <w:rsid w:val="00643B32"/>
    <w:rsid w:val="00645F80"/>
    <w:rsid w:val="00645FB2"/>
    <w:rsid w:val="00646647"/>
    <w:rsid w:val="00647775"/>
    <w:rsid w:val="00651CBD"/>
    <w:rsid w:val="00652090"/>
    <w:rsid w:val="00654FCF"/>
    <w:rsid w:val="006553AC"/>
    <w:rsid w:val="00655E63"/>
    <w:rsid w:val="006570AD"/>
    <w:rsid w:val="00657394"/>
    <w:rsid w:val="006606B7"/>
    <w:rsid w:val="00662054"/>
    <w:rsid w:val="00662BC7"/>
    <w:rsid w:val="006639D2"/>
    <w:rsid w:val="0066484F"/>
    <w:rsid w:val="0066495C"/>
    <w:rsid w:val="00666DFD"/>
    <w:rsid w:val="0067145D"/>
    <w:rsid w:val="00672E17"/>
    <w:rsid w:val="00672FCF"/>
    <w:rsid w:val="0067471C"/>
    <w:rsid w:val="006777B0"/>
    <w:rsid w:val="006778F7"/>
    <w:rsid w:val="00677917"/>
    <w:rsid w:val="006802D8"/>
    <w:rsid w:val="00681836"/>
    <w:rsid w:val="00682721"/>
    <w:rsid w:val="00682BCD"/>
    <w:rsid w:val="00684592"/>
    <w:rsid w:val="00687831"/>
    <w:rsid w:val="00687ED7"/>
    <w:rsid w:val="00690358"/>
    <w:rsid w:val="006913DE"/>
    <w:rsid w:val="0069148D"/>
    <w:rsid w:val="00692FF4"/>
    <w:rsid w:val="00694336"/>
    <w:rsid w:val="00695499"/>
    <w:rsid w:val="00696044"/>
    <w:rsid w:val="00696AB3"/>
    <w:rsid w:val="00697B53"/>
    <w:rsid w:val="006A2099"/>
    <w:rsid w:val="006A2B6D"/>
    <w:rsid w:val="006A449C"/>
    <w:rsid w:val="006A4EC8"/>
    <w:rsid w:val="006A756D"/>
    <w:rsid w:val="006A75D9"/>
    <w:rsid w:val="006B1E24"/>
    <w:rsid w:val="006B44BF"/>
    <w:rsid w:val="006B5F1F"/>
    <w:rsid w:val="006B631E"/>
    <w:rsid w:val="006B6FA0"/>
    <w:rsid w:val="006C0AEC"/>
    <w:rsid w:val="006C31FA"/>
    <w:rsid w:val="006C3235"/>
    <w:rsid w:val="006C38D4"/>
    <w:rsid w:val="006C5C0F"/>
    <w:rsid w:val="006C78F6"/>
    <w:rsid w:val="006C798A"/>
    <w:rsid w:val="006D0572"/>
    <w:rsid w:val="006D3F32"/>
    <w:rsid w:val="006D4C40"/>
    <w:rsid w:val="006D57CF"/>
    <w:rsid w:val="006D6545"/>
    <w:rsid w:val="006D6805"/>
    <w:rsid w:val="006D6F56"/>
    <w:rsid w:val="006D7E84"/>
    <w:rsid w:val="006E5AF1"/>
    <w:rsid w:val="006E672C"/>
    <w:rsid w:val="006E72AA"/>
    <w:rsid w:val="006E7F33"/>
    <w:rsid w:val="006F1AD4"/>
    <w:rsid w:val="006F1DCB"/>
    <w:rsid w:val="006F2AC1"/>
    <w:rsid w:val="006F2EA5"/>
    <w:rsid w:val="006F3577"/>
    <w:rsid w:val="006F35C0"/>
    <w:rsid w:val="006F3F76"/>
    <w:rsid w:val="006F440D"/>
    <w:rsid w:val="006F6435"/>
    <w:rsid w:val="006F64F7"/>
    <w:rsid w:val="00700FBD"/>
    <w:rsid w:val="007015F7"/>
    <w:rsid w:val="00702087"/>
    <w:rsid w:val="007033C6"/>
    <w:rsid w:val="0070398B"/>
    <w:rsid w:val="007049FC"/>
    <w:rsid w:val="00705463"/>
    <w:rsid w:val="00705CD4"/>
    <w:rsid w:val="00707F0C"/>
    <w:rsid w:val="00710D1D"/>
    <w:rsid w:val="00710EF6"/>
    <w:rsid w:val="00711B2C"/>
    <w:rsid w:val="007139F3"/>
    <w:rsid w:val="007143A8"/>
    <w:rsid w:val="00715110"/>
    <w:rsid w:val="00715677"/>
    <w:rsid w:val="007159A1"/>
    <w:rsid w:val="00717311"/>
    <w:rsid w:val="00720472"/>
    <w:rsid w:val="00721369"/>
    <w:rsid w:val="0072186C"/>
    <w:rsid w:val="00722583"/>
    <w:rsid w:val="00722724"/>
    <w:rsid w:val="00723CE5"/>
    <w:rsid w:val="00725C8B"/>
    <w:rsid w:val="00725FFD"/>
    <w:rsid w:val="007271EC"/>
    <w:rsid w:val="00730B7D"/>
    <w:rsid w:val="0073305A"/>
    <w:rsid w:val="007342E0"/>
    <w:rsid w:val="00734438"/>
    <w:rsid w:val="007344E4"/>
    <w:rsid w:val="007419A1"/>
    <w:rsid w:val="00742B83"/>
    <w:rsid w:val="00743A46"/>
    <w:rsid w:val="0074486C"/>
    <w:rsid w:val="007453E8"/>
    <w:rsid w:val="00746D34"/>
    <w:rsid w:val="00750C7C"/>
    <w:rsid w:val="007521DE"/>
    <w:rsid w:val="00753930"/>
    <w:rsid w:val="00760E75"/>
    <w:rsid w:val="007645E6"/>
    <w:rsid w:val="00765AEA"/>
    <w:rsid w:val="00770C5D"/>
    <w:rsid w:val="00771D1F"/>
    <w:rsid w:val="0077222E"/>
    <w:rsid w:val="007731F9"/>
    <w:rsid w:val="0077359E"/>
    <w:rsid w:val="0077395B"/>
    <w:rsid w:val="00776BCD"/>
    <w:rsid w:val="00776C02"/>
    <w:rsid w:val="007832E9"/>
    <w:rsid w:val="007834B6"/>
    <w:rsid w:val="00785913"/>
    <w:rsid w:val="0078746D"/>
    <w:rsid w:val="00792CAB"/>
    <w:rsid w:val="00792E85"/>
    <w:rsid w:val="00793075"/>
    <w:rsid w:val="007945B4"/>
    <w:rsid w:val="007965EE"/>
    <w:rsid w:val="00796BB5"/>
    <w:rsid w:val="00797BFF"/>
    <w:rsid w:val="007A1B56"/>
    <w:rsid w:val="007A2423"/>
    <w:rsid w:val="007A353D"/>
    <w:rsid w:val="007A3655"/>
    <w:rsid w:val="007A59E0"/>
    <w:rsid w:val="007A5DEE"/>
    <w:rsid w:val="007A5E2E"/>
    <w:rsid w:val="007A7635"/>
    <w:rsid w:val="007B4862"/>
    <w:rsid w:val="007B49C2"/>
    <w:rsid w:val="007B719E"/>
    <w:rsid w:val="007C3C81"/>
    <w:rsid w:val="007C4B05"/>
    <w:rsid w:val="007C4E71"/>
    <w:rsid w:val="007C7145"/>
    <w:rsid w:val="007D1FB0"/>
    <w:rsid w:val="007D30D7"/>
    <w:rsid w:val="007D46BA"/>
    <w:rsid w:val="007D6102"/>
    <w:rsid w:val="007D7AD5"/>
    <w:rsid w:val="007E099C"/>
    <w:rsid w:val="007E0ABF"/>
    <w:rsid w:val="007E2B5E"/>
    <w:rsid w:val="007E2B7E"/>
    <w:rsid w:val="007E3074"/>
    <w:rsid w:val="007E4D8D"/>
    <w:rsid w:val="007F039D"/>
    <w:rsid w:val="007F1875"/>
    <w:rsid w:val="007F24A7"/>
    <w:rsid w:val="007F626F"/>
    <w:rsid w:val="00800195"/>
    <w:rsid w:val="008058C3"/>
    <w:rsid w:val="00805D62"/>
    <w:rsid w:val="00806BE7"/>
    <w:rsid w:val="00807210"/>
    <w:rsid w:val="00810D9D"/>
    <w:rsid w:val="00810E5C"/>
    <w:rsid w:val="00811EBD"/>
    <w:rsid w:val="00814026"/>
    <w:rsid w:val="00820578"/>
    <w:rsid w:val="00820930"/>
    <w:rsid w:val="00820EC9"/>
    <w:rsid w:val="00823398"/>
    <w:rsid w:val="00823BAA"/>
    <w:rsid w:val="00826CA4"/>
    <w:rsid w:val="00827EAD"/>
    <w:rsid w:val="00830163"/>
    <w:rsid w:val="00831F9C"/>
    <w:rsid w:val="00836DC4"/>
    <w:rsid w:val="00840B0A"/>
    <w:rsid w:val="008416E0"/>
    <w:rsid w:val="00841A0A"/>
    <w:rsid w:val="008466E3"/>
    <w:rsid w:val="00846FEE"/>
    <w:rsid w:val="00847A44"/>
    <w:rsid w:val="00850EC0"/>
    <w:rsid w:val="00851F89"/>
    <w:rsid w:val="008526DD"/>
    <w:rsid w:val="00853FE6"/>
    <w:rsid w:val="0085757E"/>
    <w:rsid w:val="0085794F"/>
    <w:rsid w:val="00861E76"/>
    <w:rsid w:val="00862B4C"/>
    <w:rsid w:val="008630FD"/>
    <w:rsid w:val="0086411E"/>
    <w:rsid w:val="008649D1"/>
    <w:rsid w:val="008654AE"/>
    <w:rsid w:val="0086692F"/>
    <w:rsid w:val="00866DA7"/>
    <w:rsid w:val="008674CD"/>
    <w:rsid w:val="00873820"/>
    <w:rsid w:val="00876C54"/>
    <w:rsid w:val="00876D70"/>
    <w:rsid w:val="00880798"/>
    <w:rsid w:val="00880BBE"/>
    <w:rsid w:val="00880D58"/>
    <w:rsid w:val="008819D4"/>
    <w:rsid w:val="00881E95"/>
    <w:rsid w:val="00883BE6"/>
    <w:rsid w:val="008846ED"/>
    <w:rsid w:val="00885613"/>
    <w:rsid w:val="008869C4"/>
    <w:rsid w:val="0088717D"/>
    <w:rsid w:val="008878FC"/>
    <w:rsid w:val="00891A49"/>
    <w:rsid w:val="008945FF"/>
    <w:rsid w:val="00896120"/>
    <w:rsid w:val="00897D64"/>
    <w:rsid w:val="008A0385"/>
    <w:rsid w:val="008A1E53"/>
    <w:rsid w:val="008A2477"/>
    <w:rsid w:val="008A2827"/>
    <w:rsid w:val="008A28A2"/>
    <w:rsid w:val="008A3C3E"/>
    <w:rsid w:val="008A4F7D"/>
    <w:rsid w:val="008A7463"/>
    <w:rsid w:val="008B0B59"/>
    <w:rsid w:val="008B2694"/>
    <w:rsid w:val="008B42DE"/>
    <w:rsid w:val="008B6BFF"/>
    <w:rsid w:val="008C0184"/>
    <w:rsid w:val="008C0A62"/>
    <w:rsid w:val="008C10A9"/>
    <w:rsid w:val="008C1BFB"/>
    <w:rsid w:val="008C2A77"/>
    <w:rsid w:val="008C4542"/>
    <w:rsid w:val="008C4552"/>
    <w:rsid w:val="008C5279"/>
    <w:rsid w:val="008C5747"/>
    <w:rsid w:val="008D0336"/>
    <w:rsid w:val="008D049E"/>
    <w:rsid w:val="008D2B91"/>
    <w:rsid w:val="008D36FA"/>
    <w:rsid w:val="008D4549"/>
    <w:rsid w:val="008D487B"/>
    <w:rsid w:val="008D4BD5"/>
    <w:rsid w:val="008D5BE8"/>
    <w:rsid w:val="008D640A"/>
    <w:rsid w:val="008D6AA2"/>
    <w:rsid w:val="008D6FCD"/>
    <w:rsid w:val="008E1610"/>
    <w:rsid w:val="008E271A"/>
    <w:rsid w:val="008E28DD"/>
    <w:rsid w:val="008E3C12"/>
    <w:rsid w:val="008E3E26"/>
    <w:rsid w:val="008E3FD9"/>
    <w:rsid w:val="008E775E"/>
    <w:rsid w:val="008E7B9F"/>
    <w:rsid w:val="008F0684"/>
    <w:rsid w:val="008F1411"/>
    <w:rsid w:val="008F2568"/>
    <w:rsid w:val="008F56AE"/>
    <w:rsid w:val="008F5A62"/>
    <w:rsid w:val="008F7BFD"/>
    <w:rsid w:val="00901E23"/>
    <w:rsid w:val="00904DC5"/>
    <w:rsid w:val="0090621E"/>
    <w:rsid w:val="009066A7"/>
    <w:rsid w:val="009104F3"/>
    <w:rsid w:val="00911C5E"/>
    <w:rsid w:val="00913CDD"/>
    <w:rsid w:val="00914EFB"/>
    <w:rsid w:val="0091553F"/>
    <w:rsid w:val="00915CD9"/>
    <w:rsid w:val="00916847"/>
    <w:rsid w:val="00916C78"/>
    <w:rsid w:val="009174CA"/>
    <w:rsid w:val="00920A48"/>
    <w:rsid w:val="00920A9B"/>
    <w:rsid w:val="00920C7D"/>
    <w:rsid w:val="009215E9"/>
    <w:rsid w:val="009237D0"/>
    <w:rsid w:val="0092512D"/>
    <w:rsid w:val="00926466"/>
    <w:rsid w:val="00927950"/>
    <w:rsid w:val="00930E5C"/>
    <w:rsid w:val="00932D8E"/>
    <w:rsid w:val="0093415D"/>
    <w:rsid w:val="0093430C"/>
    <w:rsid w:val="00935C03"/>
    <w:rsid w:val="009364E3"/>
    <w:rsid w:val="009370FD"/>
    <w:rsid w:val="00937F8F"/>
    <w:rsid w:val="0094039C"/>
    <w:rsid w:val="0094095B"/>
    <w:rsid w:val="00941FF1"/>
    <w:rsid w:val="00943285"/>
    <w:rsid w:val="00944244"/>
    <w:rsid w:val="0094424A"/>
    <w:rsid w:val="00945A36"/>
    <w:rsid w:val="009463A5"/>
    <w:rsid w:val="0094695E"/>
    <w:rsid w:val="009506F3"/>
    <w:rsid w:val="009515BA"/>
    <w:rsid w:val="009526DC"/>
    <w:rsid w:val="00952F99"/>
    <w:rsid w:val="00956F4B"/>
    <w:rsid w:val="009572D5"/>
    <w:rsid w:val="00957A16"/>
    <w:rsid w:val="00962652"/>
    <w:rsid w:val="0096282A"/>
    <w:rsid w:val="009653DD"/>
    <w:rsid w:val="0097115D"/>
    <w:rsid w:val="00973331"/>
    <w:rsid w:val="00973485"/>
    <w:rsid w:val="00973901"/>
    <w:rsid w:val="00974A1D"/>
    <w:rsid w:val="00977EDA"/>
    <w:rsid w:val="009805DB"/>
    <w:rsid w:val="0098424B"/>
    <w:rsid w:val="009861E0"/>
    <w:rsid w:val="009902DA"/>
    <w:rsid w:val="00991056"/>
    <w:rsid w:val="009917A1"/>
    <w:rsid w:val="0099211A"/>
    <w:rsid w:val="00996993"/>
    <w:rsid w:val="009971D3"/>
    <w:rsid w:val="0099735D"/>
    <w:rsid w:val="00997610"/>
    <w:rsid w:val="009A4DF0"/>
    <w:rsid w:val="009B254B"/>
    <w:rsid w:val="009B29B7"/>
    <w:rsid w:val="009B562F"/>
    <w:rsid w:val="009B655D"/>
    <w:rsid w:val="009B6E6B"/>
    <w:rsid w:val="009C1A89"/>
    <w:rsid w:val="009C1FE6"/>
    <w:rsid w:val="009C2FAB"/>
    <w:rsid w:val="009C3350"/>
    <w:rsid w:val="009C3CC3"/>
    <w:rsid w:val="009C6BFA"/>
    <w:rsid w:val="009C7857"/>
    <w:rsid w:val="009D1B9B"/>
    <w:rsid w:val="009D3C0D"/>
    <w:rsid w:val="009D4F7D"/>
    <w:rsid w:val="009D6906"/>
    <w:rsid w:val="009D7EB5"/>
    <w:rsid w:val="009D7FCD"/>
    <w:rsid w:val="009E1F66"/>
    <w:rsid w:val="009E28FF"/>
    <w:rsid w:val="009E2F43"/>
    <w:rsid w:val="009E40C9"/>
    <w:rsid w:val="009E49E4"/>
    <w:rsid w:val="009E6CF8"/>
    <w:rsid w:val="009E6F38"/>
    <w:rsid w:val="009F0847"/>
    <w:rsid w:val="009F25B4"/>
    <w:rsid w:val="009F3972"/>
    <w:rsid w:val="009F5980"/>
    <w:rsid w:val="009F5A22"/>
    <w:rsid w:val="009F6A5C"/>
    <w:rsid w:val="009F731B"/>
    <w:rsid w:val="00A0031F"/>
    <w:rsid w:val="00A0114B"/>
    <w:rsid w:val="00A01E3C"/>
    <w:rsid w:val="00A0228D"/>
    <w:rsid w:val="00A056D2"/>
    <w:rsid w:val="00A07ECF"/>
    <w:rsid w:val="00A12DFF"/>
    <w:rsid w:val="00A156D6"/>
    <w:rsid w:val="00A15E28"/>
    <w:rsid w:val="00A17255"/>
    <w:rsid w:val="00A17D91"/>
    <w:rsid w:val="00A20586"/>
    <w:rsid w:val="00A20DE3"/>
    <w:rsid w:val="00A23DCC"/>
    <w:rsid w:val="00A24E47"/>
    <w:rsid w:val="00A311B6"/>
    <w:rsid w:val="00A31C25"/>
    <w:rsid w:val="00A34781"/>
    <w:rsid w:val="00A34E1A"/>
    <w:rsid w:val="00A37AF2"/>
    <w:rsid w:val="00A37BDC"/>
    <w:rsid w:val="00A40512"/>
    <w:rsid w:val="00A40EAB"/>
    <w:rsid w:val="00A4191F"/>
    <w:rsid w:val="00A41DA1"/>
    <w:rsid w:val="00A420F5"/>
    <w:rsid w:val="00A436ED"/>
    <w:rsid w:val="00A470DF"/>
    <w:rsid w:val="00A50229"/>
    <w:rsid w:val="00A50CF3"/>
    <w:rsid w:val="00A52319"/>
    <w:rsid w:val="00A52A50"/>
    <w:rsid w:val="00A530DE"/>
    <w:rsid w:val="00A5527B"/>
    <w:rsid w:val="00A571B1"/>
    <w:rsid w:val="00A571DA"/>
    <w:rsid w:val="00A57639"/>
    <w:rsid w:val="00A60B74"/>
    <w:rsid w:val="00A613F6"/>
    <w:rsid w:val="00A615A1"/>
    <w:rsid w:val="00A617C1"/>
    <w:rsid w:val="00A61BE1"/>
    <w:rsid w:val="00A62309"/>
    <w:rsid w:val="00A62EEE"/>
    <w:rsid w:val="00A639D8"/>
    <w:rsid w:val="00A63FF9"/>
    <w:rsid w:val="00A64E96"/>
    <w:rsid w:val="00A65827"/>
    <w:rsid w:val="00A669EE"/>
    <w:rsid w:val="00A66C95"/>
    <w:rsid w:val="00A67E94"/>
    <w:rsid w:val="00A70351"/>
    <w:rsid w:val="00A71628"/>
    <w:rsid w:val="00A72D13"/>
    <w:rsid w:val="00A748B3"/>
    <w:rsid w:val="00A7678B"/>
    <w:rsid w:val="00A81496"/>
    <w:rsid w:val="00A82AD7"/>
    <w:rsid w:val="00A8480C"/>
    <w:rsid w:val="00A84F8B"/>
    <w:rsid w:val="00A85FC3"/>
    <w:rsid w:val="00A87A5C"/>
    <w:rsid w:val="00A927BD"/>
    <w:rsid w:val="00A92F14"/>
    <w:rsid w:val="00A93466"/>
    <w:rsid w:val="00A95938"/>
    <w:rsid w:val="00A95E9A"/>
    <w:rsid w:val="00A968B6"/>
    <w:rsid w:val="00AA35A8"/>
    <w:rsid w:val="00AA3993"/>
    <w:rsid w:val="00AA5E61"/>
    <w:rsid w:val="00AB030D"/>
    <w:rsid w:val="00AB09C5"/>
    <w:rsid w:val="00AB11B2"/>
    <w:rsid w:val="00AB240E"/>
    <w:rsid w:val="00AB2D41"/>
    <w:rsid w:val="00AB33C8"/>
    <w:rsid w:val="00AB34AB"/>
    <w:rsid w:val="00AB44C2"/>
    <w:rsid w:val="00AB57CC"/>
    <w:rsid w:val="00AB5B3C"/>
    <w:rsid w:val="00AB6FF3"/>
    <w:rsid w:val="00AB7393"/>
    <w:rsid w:val="00AC0FDB"/>
    <w:rsid w:val="00AC5BC7"/>
    <w:rsid w:val="00AC5E52"/>
    <w:rsid w:val="00AC654A"/>
    <w:rsid w:val="00AC7055"/>
    <w:rsid w:val="00AC7B7D"/>
    <w:rsid w:val="00AC7EE4"/>
    <w:rsid w:val="00AD4212"/>
    <w:rsid w:val="00AE08FF"/>
    <w:rsid w:val="00AE0A1A"/>
    <w:rsid w:val="00AE0CB6"/>
    <w:rsid w:val="00AE0E67"/>
    <w:rsid w:val="00AE0EB1"/>
    <w:rsid w:val="00AE10BD"/>
    <w:rsid w:val="00AE16E7"/>
    <w:rsid w:val="00AE1D88"/>
    <w:rsid w:val="00AE2D33"/>
    <w:rsid w:val="00AE3D49"/>
    <w:rsid w:val="00AE5F19"/>
    <w:rsid w:val="00AE6333"/>
    <w:rsid w:val="00AE79CB"/>
    <w:rsid w:val="00AE7E4B"/>
    <w:rsid w:val="00AE7EE0"/>
    <w:rsid w:val="00AF00AB"/>
    <w:rsid w:val="00AF01A9"/>
    <w:rsid w:val="00AF07E1"/>
    <w:rsid w:val="00AF4063"/>
    <w:rsid w:val="00AF4AAF"/>
    <w:rsid w:val="00AF541C"/>
    <w:rsid w:val="00AF5FB6"/>
    <w:rsid w:val="00AF6057"/>
    <w:rsid w:val="00AF6297"/>
    <w:rsid w:val="00B000E1"/>
    <w:rsid w:val="00B002D2"/>
    <w:rsid w:val="00B0261C"/>
    <w:rsid w:val="00B03E8E"/>
    <w:rsid w:val="00B051F8"/>
    <w:rsid w:val="00B0613A"/>
    <w:rsid w:val="00B06E12"/>
    <w:rsid w:val="00B07A4D"/>
    <w:rsid w:val="00B108CF"/>
    <w:rsid w:val="00B11D42"/>
    <w:rsid w:val="00B12226"/>
    <w:rsid w:val="00B14AAA"/>
    <w:rsid w:val="00B171F3"/>
    <w:rsid w:val="00B2128F"/>
    <w:rsid w:val="00B21B7A"/>
    <w:rsid w:val="00B25883"/>
    <w:rsid w:val="00B263D3"/>
    <w:rsid w:val="00B27AC0"/>
    <w:rsid w:val="00B3033A"/>
    <w:rsid w:val="00B315C9"/>
    <w:rsid w:val="00B31E1B"/>
    <w:rsid w:val="00B32262"/>
    <w:rsid w:val="00B34D43"/>
    <w:rsid w:val="00B356D4"/>
    <w:rsid w:val="00B35B9E"/>
    <w:rsid w:val="00B35CF5"/>
    <w:rsid w:val="00B361F0"/>
    <w:rsid w:val="00B36EBB"/>
    <w:rsid w:val="00B37290"/>
    <w:rsid w:val="00B37604"/>
    <w:rsid w:val="00B4247E"/>
    <w:rsid w:val="00B43712"/>
    <w:rsid w:val="00B43CAD"/>
    <w:rsid w:val="00B44D1D"/>
    <w:rsid w:val="00B44F3C"/>
    <w:rsid w:val="00B451DC"/>
    <w:rsid w:val="00B46848"/>
    <w:rsid w:val="00B5117D"/>
    <w:rsid w:val="00B51EA6"/>
    <w:rsid w:val="00B532A0"/>
    <w:rsid w:val="00B554DD"/>
    <w:rsid w:val="00B6429A"/>
    <w:rsid w:val="00B6448C"/>
    <w:rsid w:val="00B6487F"/>
    <w:rsid w:val="00B6513E"/>
    <w:rsid w:val="00B6571B"/>
    <w:rsid w:val="00B6620B"/>
    <w:rsid w:val="00B66584"/>
    <w:rsid w:val="00B665BD"/>
    <w:rsid w:val="00B67504"/>
    <w:rsid w:val="00B71270"/>
    <w:rsid w:val="00B725A4"/>
    <w:rsid w:val="00B72D0B"/>
    <w:rsid w:val="00B72F78"/>
    <w:rsid w:val="00B76217"/>
    <w:rsid w:val="00B76E4A"/>
    <w:rsid w:val="00B82528"/>
    <w:rsid w:val="00B825B4"/>
    <w:rsid w:val="00B82ACA"/>
    <w:rsid w:val="00B82D99"/>
    <w:rsid w:val="00B83808"/>
    <w:rsid w:val="00B8495C"/>
    <w:rsid w:val="00B85589"/>
    <w:rsid w:val="00B86612"/>
    <w:rsid w:val="00B86E61"/>
    <w:rsid w:val="00B91FB3"/>
    <w:rsid w:val="00B9248C"/>
    <w:rsid w:val="00B95100"/>
    <w:rsid w:val="00B96838"/>
    <w:rsid w:val="00BA0BA0"/>
    <w:rsid w:val="00BA33BE"/>
    <w:rsid w:val="00BB024E"/>
    <w:rsid w:val="00BB2F82"/>
    <w:rsid w:val="00BB3BC7"/>
    <w:rsid w:val="00BB42E0"/>
    <w:rsid w:val="00BB4462"/>
    <w:rsid w:val="00BB46F2"/>
    <w:rsid w:val="00BB5564"/>
    <w:rsid w:val="00BB570C"/>
    <w:rsid w:val="00BC06A0"/>
    <w:rsid w:val="00BC1F6F"/>
    <w:rsid w:val="00BC5427"/>
    <w:rsid w:val="00BC6744"/>
    <w:rsid w:val="00BC6874"/>
    <w:rsid w:val="00BD19B2"/>
    <w:rsid w:val="00BD2B15"/>
    <w:rsid w:val="00BD3452"/>
    <w:rsid w:val="00BD413D"/>
    <w:rsid w:val="00BD5269"/>
    <w:rsid w:val="00BD601B"/>
    <w:rsid w:val="00BD6FA6"/>
    <w:rsid w:val="00BD76F3"/>
    <w:rsid w:val="00BD7BCB"/>
    <w:rsid w:val="00BE046B"/>
    <w:rsid w:val="00BE0EAB"/>
    <w:rsid w:val="00BE1167"/>
    <w:rsid w:val="00BE1E7E"/>
    <w:rsid w:val="00BE2611"/>
    <w:rsid w:val="00BE37AD"/>
    <w:rsid w:val="00BE464F"/>
    <w:rsid w:val="00BE4E76"/>
    <w:rsid w:val="00BE53CA"/>
    <w:rsid w:val="00BE5EF7"/>
    <w:rsid w:val="00BE5F01"/>
    <w:rsid w:val="00BE624B"/>
    <w:rsid w:val="00BF0C27"/>
    <w:rsid w:val="00BF2398"/>
    <w:rsid w:val="00BF34E1"/>
    <w:rsid w:val="00BF3DE4"/>
    <w:rsid w:val="00BF4831"/>
    <w:rsid w:val="00BF5F9E"/>
    <w:rsid w:val="00BF6DB1"/>
    <w:rsid w:val="00C00FD7"/>
    <w:rsid w:val="00C01D58"/>
    <w:rsid w:val="00C04D6F"/>
    <w:rsid w:val="00C05681"/>
    <w:rsid w:val="00C06576"/>
    <w:rsid w:val="00C102A0"/>
    <w:rsid w:val="00C12C58"/>
    <w:rsid w:val="00C1463E"/>
    <w:rsid w:val="00C14EC9"/>
    <w:rsid w:val="00C15602"/>
    <w:rsid w:val="00C17DEB"/>
    <w:rsid w:val="00C202F3"/>
    <w:rsid w:val="00C20320"/>
    <w:rsid w:val="00C21EB8"/>
    <w:rsid w:val="00C23EB9"/>
    <w:rsid w:val="00C24F8F"/>
    <w:rsid w:val="00C250FC"/>
    <w:rsid w:val="00C2781E"/>
    <w:rsid w:val="00C279BC"/>
    <w:rsid w:val="00C33BE2"/>
    <w:rsid w:val="00C33C1C"/>
    <w:rsid w:val="00C3400A"/>
    <w:rsid w:val="00C358A0"/>
    <w:rsid w:val="00C37D1F"/>
    <w:rsid w:val="00C419D2"/>
    <w:rsid w:val="00C42017"/>
    <w:rsid w:val="00C42E53"/>
    <w:rsid w:val="00C452FE"/>
    <w:rsid w:val="00C46AB2"/>
    <w:rsid w:val="00C503AC"/>
    <w:rsid w:val="00C504AE"/>
    <w:rsid w:val="00C50906"/>
    <w:rsid w:val="00C50B2A"/>
    <w:rsid w:val="00C51545"/>
    <w:rsid w:val="00C544DA"/>
    <w:rsid w:val="00C56040"/>
    <w:rsid w:val="00C5690B"/>
    <w:rsid w:val="00C56D94"/>
    <w:rsid w:val="00C57D38"/>
    <w:rsid w:val="00C607C2"/>
    <w:rsid w:val="00C62150"/>
    <w:rsid w:val="00C62667"/>
    <w:rsid w:val="00C6605A"/>
    <w:rsid w:val="00C7012D"/>
    <w:rsid w:val="00C7100B"/>
    <w:rsid w:val="00C73AE2"/>
    <w:rsid w:val="00C7485C"/>
    <w:rsid w:val="00C776C2"/>
    <w:rsid w:val="00C809F7"/>
    <w:rsid w:val="00C85A37"/>
    <w:rsid w:val="00C875E1"/>
    <w:rsid w:val="00C87EC8"/>
    <w:rsid w:val="00C954B4"/>
    <w:rsid w:val="00C95FAD"/>
    <w:rsid w:val="00C97C52"/>
    <w:rsid w:val="00C97E09"/>
    <w:rsid w:val="00CA01E3"/>
    <w:rsid w:val="00CA02B0"/>
    <w:rsid w:val="00CA357E"/>
    <w:rsid w:val="00CA4FA0"/>
    <w:rsid w:val="00CA5479"/>
    <w:rsid w:val="00CA602F"/>
    <w:rsid w:val="00CA7468"/>
    <w:rsid w:val="00CA798A"/>
    <w:rsid w:val="00CA7B9F"/>
    <w:rsid w:val="00CA7DF3"/>
    <w:rsid w:val="00CB0310"/>
    <w:rsid w:val="00CB0A82"/>
    <w:rsid w:val="00CB237E"/>
    <w:rsid w:val="00CB4C4E"/>
    <w:rsid w:val="00CB524E"/>
    <w:rsid w:val="00CB6D9D"/>
    <w:rsid w:val="00CC017E"/>
    <w:rsid w:val="00CC3C93"/>
    <w:rsid w:val="00CC6E4C"/>
    <w:rsid w:val="00CC6FA7"/>
    <w:rsid w:val="00CC758C"/>
    <w:rsid w:val="00CD115A"/>
    <w:rsid w:val="00CD13D0"/>
    <w:rsid w:val="00CD193E"/>
    <w:rsid w:val="00CD20B3"/>
    <w:rsid w:val="00CD28AE"/>
    <w:rsid w:val="00CD3509"/>
    <w:rsid w:val="00CD4255"/>
    <w:rsid w:val="00CD4D13"/>
    <w:rsid w:val="00CD6DA4"/>
    <w:rsid w:val="00CE2660"/>
    <w:rsid w:val="00CE45D3"/>
    <w:rsid w:val="00CE685A"/>
    <w:rsid w:val="00CE7237"/>
    <w:rsid w:val="00CF0E40"/>
    <w:rsid w:val="00CF0E4C"/>
    <w:rsid w:val="00CF1D3D"/>
    <w:rsid w:val="00CF256A"/>
    <w:rsid w:val="00CF34E6"/>
    <w:rsid w:val="00CF3BE8"/>
    <w:rsid w:val="00CF3F9F"/>
    <w:rsid w:val="00CF41B3"/>
    <w:rsid w:val="00CF4C97"/>
    <w:rsid w:val="00CF4D5E"/>
    <w:rsid w:val="00CF531B"/>
    <w:rsid w:val="00CF6355"/>
    <w:rsid w:val="00CF6794"/>
    <w:rsid w:val="00D014A9"/>
    <w:rsid w:val="00D02384"/>
    <w:rsid w:val="00D037C4"/>
    <w:rsid w:val="00D050DE"/>
    <w:rsid w:val="00D10712"/>
    <w:rsid w:val="00D125AE"/>
    <w:rsid w:val="00D1291A"/>
    <w:rsid w:val="00D13B36"/>
    <w:rsid w:val="00D13E39"/>
    <w:rsid w:val="00D144EF"/>
    <w:rsid w:val="00D145F5"/>
    <w:rsid w:val="00D146BC"/>
    <w:rsid w:val="00D16DDF"/>
    <w:rsid w:val="00D1739C"/>
    <w:rsid w:val="00D220E4"/>
    <w:rsid w:val="00D2284C"/>
    <w:rsid w:val="00D252C3"/>
    <w:rsid w:val="00D26098"/>
    <w:rsid w:val="00D26741"/>
    <w:rsid w:val="00D27641"/>
    <w:rsid w:val="00D311AB"/>
    <w:rsid w:val="00D33288"/>
    <w:rsid w:val="00D343D8"/>
    <w:rsid w:val="00D366CC"/>
    <w:rsid w:val="00D36C1C"/>
    <w:rsid w:val="00D371D6"/>
    <w:rsid w:val="00D40691"/>
    <w:rsid w:val="00D409E6"/>
    <w:rsid w:val="00D413EF"/>
    <w:rsid w:val="00D42FFE"/>
    <w:rsid w:val="00D452B9"/>
    <w:rsid w:val="00D455D8"/>
    <w:rsid w:val="00D46100"/>
    <w:rsid w:val="00D529A1"/>
    <w:rsid w:val="00D53C11"/>
    <w:rsid w:val="00D558ED"/>
    <w:rsid w:val="00D61758"/>
    <w:rsid w:val="00D63C39"/>
    <w:rsid w:val="00D6474B"/>
    <w:rsid w:val="00D663CB"/>
    <w:rsid w:val="00D664C2"/>
    <w:rsid w:val="00D66518"/>
    <w:rsid w:val="00D70368"/>
    <w:rsid w:val="00D72636"/>
    <w:rsid w:val="00D731D2"/>
    <w:rsid w:val="00D738E3"/>
    <w:rsid w:val="00D74BA9"/>
    <w:rsid w:val="00D75E26"/>
    <w:rsid w:val="00D762F4"/>
    <w:rsid w:val="00D82955"/>
    <w:rsid w:val="00D8307C"/>
    <w:rsid w:val="00D83641"/>
    <w:rsid w:val="00D844A1"/>
    <w:rsid w:val="00D86B70"/>
    <w:rsid w:val="00D87032"/>
    <w:rsid w:val="00D905C2"/>
    <w:rsid w:val="00D9356E"/>
    <w:rsid w:val="00D937D4"/>
    <w:rsid w:val="00D9680F"/>
    <w:rsid w:val="00D96965"/>
    <w:rsid w:val="00D97E89"/>
    <w:rsid w:val="00DA060C"/>
    <w:rsid w:val="00DA1160"/>
    <w:rsid w:val="00DA2E9A"/>
    <w:rsid w:val="00DA56A0"/>
    <w:rsid w:val="00DB092E"/>
    <w:rsid w:val="00DB324F"/>
    <w:rsid w:val="00DB4EE7"/>
    <w:rsid w:val="00DB5FAB"/>
    <w:rsid w:val="00DB7149"/>
    <w:rsid w:val="00DB7E5C"/>
    <w:rsid w:val="00DB7F6F"/>
    <w:rsid w:val="00DC0701"/>
    <w:rsid w:val="00DC09F2"/>
    <w:rsid w:val="00DC14D4"/>
    <w:rsid w:val="00DC29CF"/>
    <w:rsid w:val="00DC5E5E"/>
    <w:rsid w:val="00DC63F4"/>
    <w:rsid w:val="00DD0036"/>
    <w:rsid w:val="00DD0063"/>
    <w:rsid w:val="00DD2117"/>
    <w:rsid w:val="00DD33A6"/>
    <w:rsid w:val="00DD4AAF"/>
    <w:rsid w:val="00DD4FE5"/>
    <w:rsid w:val="00DD547F"/>
    <w:rsid w:val="00DE006A"/>
    <w:rsid w:val="00DE482E"/>
    <w:rsid w:val="00DE4BA0"/>
    <w:rsid w:val="00DE5899"/>
    <w:rsid w:val="00DE5900"/>
    <w:rsid w:val="00DE65AE"/>
    <w:rsid w:val="00DF0D8A"/>
    <w:rsid w:val="00DF1349"/>
    <w:rsid w:val="00DF2D40"/>
    <w:rsid w:val="00DF327A"/>
    <w:rsid w:val="00DF3EF4"/>
    <w:rsid w:val="00DF456A"/>
    <w:rsid w:val="00DF4BA2"/>
    <w:rsid w:val="00DF6006"/>
    <w:rsid w:val="00DF6524"/>
    <w:rsid w:val="00DF70B2"/>
    <w:rsid w:val="00DF7630"/>
    <w:rsid w:val="00E029F3"/>
    <w:rsid w:val="00E02DC4"/>
    <w:rsid w:val="00E03E1B"/>
    <w:rsid w:val="00E04C69"/>
    <w:rsid w:val="00E05F73"/>
    <w:rsid w:val="00E07364"/>
    <w:rsid w:val="00E078EE"/>
    <w:rsid w:val="00E1026E"/>
    <w:rsid w:val="00E120E8"/>
    <w:rsid w:val="00E14CA4"/>
    <w:rsid w:val="00E14FEC"/>
    <w:rsid w:val="00E158E3"/>
    <w:rsid w:val="00E15C73"/>
    <w:rsid w:val="00E15F03"/>
    <w:rsid w:val="00E16AA1"/>
    <w:rsid w:val="00E17478"/>
    <w:rsid w:val="00E17B67"/>
    <w:rsid w:val="00E235A9"/>
    <w:rsid w:val="00E2477D"/>
    <w:rsid w:val="00E30A18"/>
    <w:rsid w:val="00E33521"/>
    <w:rsid w:val="00E3464C"/>
    <w:rsid w:val="00E35BF7"/>
    <w:rsid w:val="00E35CAE"/>
    <w:rsid w:val="00E360DE"/>
    <w:rsid w:val="00E37AC9"/>
    <w:rsid w:val="00E40CAB"/>
    <w:rsid w:val="00E42CA1"/>
    <w:rsid w:val="00E433D2"/>
    <w:rsid w:val="00E44151"/>
    <w:rsid w:val="00E51726"/>
    <w:rsid w:val="00E53D36"/>
    <w:rsid w:val="00E55237"/>
    <w:rsid w:val="00E556D7"/>
    <w:rsid w:val="00E55E00"/>
    <w:rsid w:val="00E56053"/>
    <w:rsid w:val="00E56DB0"/>
    <w:rsid w:val="00E6150A"/>
    <w:rsid w:val="00E63440"/>
    <w:rsid w:val="00E647C1"/>
    <w:rsid w:val="00E66DCB"/>
    <w:rsid w:val="00E721D2"/>
    <w:rsid w:val="00E7325C"/>
    <w:rsid w:val="00E7400C"/>
    <w:rsid w:val="00E742F5"/>
    <w:rsid w:val="00E74833"/>
    <w:rsid w:val="00E77B47"/>
    <w:rsid w:val="00E800F3"/>
    <w:rsid w:val="00E80439"/>
    <w:rsid w:val="00E80505"/>
    <w:rsid w:val="00E83461"/>
    <w:rsid w:val="00E83633"/>
    <w:rsid w:val="00E83B09"/>
    <w:rsid w:val="00E84425"/>
    <w:rsid w:val="00E8623F"/>
    <w:rsid w:val="00E862C8"/>
    <w:rsid w:val="00E87CA5"/>
    <w:rsid w:val="00E87F78"/>
    <w:rsid w:val="00E90E3C"/>
    <w:rsid w:val="00E925FF"/>
    <w:rsid w:val="00E954A2"/>
    <w:rsid w:val="00E9587D"/>
    <w:rsid w:val="00E96CEF"/>
    <w:rsid w:val="00EA0A2B"/>
    <w:rsid w:val="00EA3D64"/>
    <w:rsid w:val="00EA508B"/>
    <w:rsid w:val="00EB259F"/>
    <w:rsid w:val="00EB2992"/>
    <w:rsid w:val="00EB422B"/>
    <w:rsid w:val="00EB48F1"/>
    <w:rsid w:val="00EB4BB1"/>
    <w:rsid w:val="00EB6182"/>
    <w:rsid w:val="00EC0296"/>
    <w:rsid w:val="00EC0B31"/>
    <w:rsid w:val="00EC230A"/>
    <w:rsid w:val="00EC27E9"/>
    <w:rsid w:val="00EC2D4B"/>
    <w:rsid w:val="00EC334D"/>
    <w:rsid w:val="00EC3DC2"/>
    <w:rsid w:val="00EC47F6"/>
    <w:rsid w:val="00EC50E7"/>
    <w:rsid w:val="00EC5941"/>
    <w:rsid w:val="00EC5C26"/>
    <w:rsid w:val="00EC6130"/>
    <w:rsid w:val="00EC62AF"/>
    <w:rsid w:val="00EC7FD9"/>
    <w:rsid w:val="00ED0CB6"/>
    <w:rsid w:val="00ED2992"/>
    <w:rsid w:val="00ED479D"/>
    <w:rsid w:val="00ED4FF1"/>
    <w:rsid w:val="00ED6706"/>
    <w:rsid w:val="00ED6F26"/>
    <w:rsid w:val="00ED73F5"/>
    <w:rsid w:val="00EE054F"/>
    <w:rsid w:val="00EE1D00"/>
    <w:rsid w:val="00EE2218"/>
    <w:rsid w:val="00EE2495"/>
    <w:rsid w:val="00EE445F"/>
    <w:rsid w:val="00EE4F68"/>
    <w:rsid w:val="00EE72BF"/>
    <w:rsid w:val="00EF07A5"/>
    <w:rsid w:val="00EF3152"/>
    <w:rsid w:val="00EF36A3"/>
    <w:rsid w:val="00EF557D"/>
    <w:rsid w:val="00EF77C5"/>
    <w:rsid w:val="00F03520"/>
    <w:rsid w:val="00F04FA4"/>
    <w:rsid w:val="00F077B2"/>
    <w:rsid w:val="00F11CC4"/>
    <w:rsid w:val="00F12D11"/>
    <w:rsid w:val="00F138A7"/>
    <w:rsid w:val="00F15D9E"/>
    <w:rsid w:val="00F16389"/>
    <w:rsid w:val="00F1707E"/>
    <w:rsid w:val="00F22E7F"/>
    <w:rsid w:val="00F23F54"/>
    <w:rsid w:val="00F24F5F"/>
    <w:rsid w:val="00F254A3"/>
    <w:rsid w:val="00F27039"/>
    <w:rsid w:val="00F270BF"/>
    <w:rsid w:val="00F27838"/>
    <w:rsid w:val="00F30183"/>
    <w:rsid w:val="00F30476"/>
    <w:rsid w:val="00F305F6"/>
    <w:rsid w:val="00F308BF"/>
    <w:rsid w:val="00F312EC"/>
    <w:rsid w:val="00F339AD"/>
    <w:rsid w:val="00F33B87"/>
    <w:rsid w:val="00F34287"/>
    <w:rsid w:val="00F34E55"/>
    <w:rsid w:val="00F359B5"/>
    <w:rsid w:val="00F35F8E"/>
    <w:rsid w:val="00F36FC9"/>
    <w:rsid w:val="00F401A8"/>
    <w:rsid w:val="00F42AB2"/>
    <w:rsid w:val="00F45B9C"/>
    <w:rsid w:val="00F45E3C"/>
    <w:rsid w:val="00F51984"/>
    <w:rsid w:val="00F5525A"/>
    <w:rsid w:val="00F553C7"/>
    <w:rsid w:val="00F563EA"/>
    <w:rsid w:val="00F56ECA"/>
    <w:rsid w:val="00F5745A"/>
    <w:rsid w:val="00F57E8C"/>
    <w:rsid w:val="00F607CB"/>
    <w:rsid w:val="00F60845"/>
    <w:rsid w:val="00F63899"/>
    <w:rsid w:val="00F66539"/>
    <w:rsid w:val="00F671A8"/>
    <w:rsid w:val="00F67BE5"/>
    <w:rsid w:val="00F70101"/>
    <w:rsid w:val="00F71906"/>
    <w:rsid w:val="00F73D11"/>
    <w:rsid w:val="00F756D0"/>
    <w:rsid w:val="00F75DD7"/>
    <w:rsid w:val="00F80393"/>
    <w:rsid w:val="00F80CE2"/>
    <w:rsid w:val="00F816D7"/>
    <w:rsid w:val="00F81C99"/>
    <w:rsid w:val="00F824F4"/>
    <w:rsid w:val="00F82801"/>
    <w:rsid w:val="00F85E74"/>
    <w:rsid w:val="00F8641A"/>
    <w:rsid w:val="00F87FCC"/>
    <w:rsid w:val="00F903D1"/>
    <w:rsid w:val="00F90A03"/>
    <w:rsid w:val="00F90D66"/>
    <w:rsid w:val="00F9207A"/>
    <w:rsid w:val="00F93D17"/>
    <w:rsid w:val="00F93D44"/>
    <w:rsid w:val="00F95763"/>
    <w:rsid w:val="00F95B5D"/>
    <w:rsid w:val="00F968CA"/>
    <w:rsid w:val="00F96E6A"/>
    <w:rsid w:val="00FA0AF0"/>
    <w:rsid w:val="00FA0E64"/>
    <w:rsid w:val="00FA6E0E"/>
    <w:rsid w:val="00FA79BA"/>
    <w:rsid w:val="00FB166C"/>
    <w:rsid w:val="00FB50B2"/>
    <w:rsid w:val="00FB523B"/>
    <w:rsid w:val="00FB6FA7"/>
    <w:rsid w:val="00FB70D6"/>
    <w:rsid w:val="00FB7196"/>
    <w:rsid w:val="00FC2EC6"/>
    <w:rsid w:val="00FC3954"/>
    <w:rsid w:val="00FC4CD6"/>
    <w:rsid w:val="00FC53DC"/>
    <w:rsid w:val="00FC55B7"/>
    <w:rsid w:val="00FC5FD6"/>
    <w:rsid w:val="00FC723A"/>
    <w:rsid w:val="00FC79E9"/>
    <w:rsid w:val="00FD110D"/>
    <w:rsid w:val="00FD14EB"/>
    <w:rsid w:val="00FD178B"/>
    <w:rsid w:val="00FD218C"/>
    <w:rsid w:val="00FD3745"/>
    <w:rsid w:val="00FD6AA4"/>
    <w:rsid w:val="00FE4904"/>
    <w:rsid w:val="00FF171D"/>
    <w:rsid w:val="00FF64DB"/>
    <w:rsid w:val="00FF766B"/>
    <w:rsid w:val="00FF7D8A"/>
    <w:rsid w:val="011B28C1"/>
    <w:rsid w:val="017166AE"/>
    <w:rsid w:val="01956B34"/>
    <w:rsid w:val="020E3C70"/>
    <w:rsid w:val="022A541A"/>
    <w:rsid w:val="02502671"/>
    <w:rsid w:val="02AF1979"/>
    <w:rsid w:val="02BE311C"/>
    <w:rsid w:val="033B1E54"/>
    <w:rsid w:val="035C5764"/>
    <w:rsid w:val="03621A8A"/>
    <w:rsid w:val="03962305"/>
    <w:rsid w:val="042F6F48"/>
    <w:rsid w:val="04544B29"/>
    <w:rsid w:val="047F69C5"/>
    <w:rsid w:val="04D40755"/>
    <w:rsid w:val="04FF037E"/>
    <w:rsid w:val="05A17ECD"/>
    <w:rsid w:val="05B54066"/>
    <w:rsid w:val="05C110C6"/>
    <w:rsid w:val="062B17A4"/>
    <w:rsid w:val="064F2365"/>
    <w:rsid w:val="067D7AA2"/>
    <w:rsid w:val="06E32736"/>
    <w:rsid w:val="07053359"/>
    <w:rsid w:val="070924FF"/>
    <w:rsid w:val="074161BD"/>
    <w:rsid w:val="078326C1"/>
    <w:rsid w:val="07A11D12"/>
    <w:rsid w:val="07AD5E6F"/>
    <w:rsid w:val="07E0507A"/>
    <w:rsid w:val="07FA45C6"/>
    <w:rsid w:val="081504F8"/>
    <w:rsid w:val="0862654D"/>
    <w:rsid w:val="08935516"/>
    <w:rsid w:val="08D95292"/>
    <w:rsid w:val="090F43EE"/>
    <w:rsid w:val="09233641"/>
    <w:rsid w:val="094B1DE4"/>
    <w:rsid w:val="09931921"/>
    <w:rsid w:val="0994104B"/>
    <w:rsid w:val="09963BDE"/>
    <w:rsid w:val="09D6785C"/>
    <w:rsid w:val="0A035A34"/>
    <w:rsid w:val="0A091AC8"/>
    <w:rsid w:val="0A0A3406"/>
    <w:rsid w:val="0A3367C8"/>
    <w:rsid w:val="0AAB3252"/>
    <w:rsid w:val="0ACC5B66"/>
    <w:rsid w:val="0B8C227D"/>
    <w:rsid w:val="0BDE35D8"/>
    <w:rsid w:val="0C5000DA"/>
    <w:rsid w:val="0C991E7C"/>
    <w:rsid w:val="0C9D29C7"/>
    <w:rsid w:val="0CA230CA"/>
    <w:rsid w:val="0D051EC5"/>
    <w:rsid w:val="0D1E4C12"/>
    <w:rsid w:val="0DBE6D75"/>
    <w:rsid w:val="0DCF5EF9"/>
    <w:rsid w:val="0DDF5104"/>
    <w:rsid w:val="0E843A72"/>
    <w:rsid w:val="0E99481F"/>
    <w:rsid w:val="0ECD6DF7"/>
    <w:rsid w:val="0F165988"/>
    <w:rsid w:val="0F220B5F"/>
    <w:rsid w:val="0FA42CA5"/>
    <w:rsid w:val="0FBB0301"/>
    <w:rsid w:val="100101C6"/>
    <w:rsid w:val="101A0738"/>
    <w:rsid w:val="10431DB4"/>
    <w:rsid w:val="104C323E"/>
    <w:rsid w:val="10C85AC8"/>
    <w:rsid w:val="11301CA5"/>
    <w:rsid w:val="11424E6D"/>
    <w:rsid w:val="117748B7"/>
    <w:rsid w:val="120E0BA8"/>
    <w:rsid w:val="121F2F9D"/>
    <w:rsid w:val="12AA67B6"/>
    <w:rsid w:val="12D165F4"/>
    <w:rsid w:val="132F0626"/>
    <w:rsid w:val="133D501F"/>
    <w:rsid w:val="13876815"/>
    <w:rsid w:val="1402639A"/>
    <w:rsid w:val="14656203"/>
    <w:rsid w:val="14680C27"/>
    <w:rsid w:val="14787422"/>
    <w:rsid w:val="14B47207"/>
    <w:rsid w:val="14C013AB"/>
    <w:rsid w:val="14FF0D57"/>
    <w:rsid w:val="152F2A59"/>
    <w:rsid w:val="154B07D3"/>
    <w:rsid w:val="154C501B"/>
    <w:rsid w:val="154E1A04"/>
    <w:rsid w:val="15A64713"/>
    <w:rsid w:val="15AA4F8C"/>
    <w:rsid w:val="15BC2038"/>
    <w:rsid w:val="15C13473"/>
    <w:rsid w:val="16235D4B"/>
    <w:rsid w:val="16721978"/>
    <w:rsid w:val="169C6984"/>
    <w:rsid w:val="16B818A0"/>
    <w:rsid w:val="16E9345D"/>
    <w:rsid w:val="16F778E7"/>
    <w:rsid w:val="170F4451"/>
    <w:rsid w:val="173C04AE"/>
    <w:rsid w:val="17452918"/>
    <w:rsid w:val="17AB476E"/>
    <w:rsid w:val="17B0456D"/>
    <w:rsid w:val="18170679"/>
    <w:rsid w:val="186F74A0"/>
    <w:rsid w:val="188E4530"/>
    <w:rsid w:val="18962D68"/>
    <w:rsid w:val="189A7A78"/>
    <w:rsid w:val="18A17015"/>
    <w:rsid w:val="18C72F35"/>
    <w:rsid w:val="18C90EA2"/>
    <w:rsid w:val="18DA4154"/>
    <w:rsid w:val="18EE31ED"/>
    <w:rsid w:val="19235F91"/>
    <w:rsid w:val="19433D4E"/>
    <w:rsid w:val="19446930"/>
    <w:rsid w:val="1962573A"/>
    <w:rsid w:val="198321B8"/>
    <w:rsid w:val="198F6886"/>
    <w:rsid w:val="199D2BBF"/>
    <w:rsid w:val="19A7171C"/>
    <w:rsid w:val="19A80114"/>
    <w:rsid w:val="19D226D5"/>
    <w:rsid w:val="1A0A5656"/>
    <w:rsid w:val="1A236811"/>
    <w:rsid w:val="1A580283"/>
    <w:rsid w:val="1A5F77D3"/>
    <w:rsid w:val="1AA82D2A"/>
    <w:rsid w:val="1AE15DCD"/>
    <w:rsid w:val="1B19589E"/>
    <w:rsid w:val="1B413F09"/>
    <w:rsid w:val="1B543563"/>
    <w:rsid w:val="1B764D9C"/>
    <w:rsid w:val="1B8212E6"/>
    <w:rsid w:val="1BCB6791"/>
    <w:rsid w:val="1BD73A33"/>
    <w:rsid w:val="1BE75179"/>
    <w:rsid w:val="1BE86DA1"/>
    <w:rsid w:val="1C052243"/>
    <w:rsid w:val="1C5362B0"/>
    <w:rsid w:val="1C5E5533"/>
    <w:rsid w:val="1C665457"/>
    <w:rsid w:val="1C97466F"/>
    <w:rsid w:val="1C9E0082"/>
    <w:rsid w:val="1CE06C1D"/>
    <w:rsid w:val="1D2E5BC6"/>
    <w:rsid w:val="1D6C5079"/>
    <w:rsid w:val="1D7A1E13"/>
    <w:rsid w:val="1D8764F8"/>
    <w:rsid w:val="1DB10972"/>
    <w:rsid w:val="1DB530CD"/>
    <w:rsid w:val="1DCA2AD6"/>
    <w:rsid w:val="1E013B91"/>
    <w:rsid w:val="1E016A0C"/>
    <w:rsid w:val="1E19340A"/>
    <w:rsid w:val="1E3E2600"/>
    <w:rsid w:val="1E427D31"/>
    <w:rsid w:val="1E664332"/>
    <w:rsid w:val="1E873744"/>
    <w:rsid w:val="1EA055A8"/>
    <w:rsid w:val="1EBF675C"/>
    <w:rsid w:val="1EDF5816"/>
    <w:rsid w:val="1EEB2065"/>
    <w:rsid w:val="1F0D7627"/>
    <w:rsid w:val="1F2014D4"/>
    <w:rsid w:val="1F2B6F85"/>
    <w:rsid w:val="1F3A3E60"/>
    <w:rsid w:val="1FA30EE2"/>
    <w:rsid w:val="1FD93CCC"/>
    <w:rsid w:val="1FD944E4"/>
    <w:rsid w:val="1FF42436"/>
    <w:rsid w:val="203B3EEC"/>
    <w:rsid w:val="207A0804"/>
    <w:rsid w:val="20831A0C"/>
    <w:rsid w:val="20B66498"/>
    <w:rsid w:val="20BF5146"/>
    <w:rsid w:val="21374952"/>
    <w:rsid w:val="21592534"/>
    <w:rsid w:val="218D48F0"/>
    <w:rsid w:val="21AA5D26"/>
    <w:rsid w:val="21AF5E51"/>
    <w:rsid w:val="21D06A72"/>
    <w:rsid w:val="21D41936"/>
    <w:rsid w:val="21E23ED8"/>
    <w:rsid w:val="22025C4D"/>
    <w:rsid w:val="2208462B"/>
    <w:rsid w:val="220E37A9"/>
    <w:rsid w:val="220F4F71"/>
    <w:rsid w:val="221207C2"/>
    <w:rsid w:val="22DB78F5"/>
    <w:rsid w:val="23076924"/>
    <w:rsid w:val="23516325"/>
    <w:rsid w:val="23862CFC"/>
    <w:rsid w:val="23CB2CA4"/>
    <w:rsid w:val="24131F74"/>
    <w:rsid w:val="243C3C5B"/>
    <w:rsid w:val="244B79D2"/>
    <w:rsid w:val="24997AEA"/>
    <w:rsid w:val="24BB3FBB"/>
    <w:rsid w:val="24BE0FD7"/>
    <w:rsid w:val="24ED5098"/>
    <w:rsid w:val="251C352A"/>
    <w:rsid w:val="25420504"/>
    <w:rsid w:val="25B54B35"/>
    <w:rsid w:val="25C60C7D"/>
    <w:rsid w:val="260006E9"/>
    <w:rsid w:val="2604539D"/>
    <w:rsid w:val="26A859B6"/>
    <w:rsid w:val="26E31456"/>
    <w:rsid w:val="272141D1"/>
    <w:rsid w:val="273175EF"/>
    <w:rsid w:val="274B7407"/>
    <w:rsid w:val="27814EF7"/>
    <w:rsid w:val="27AC7A9A"/>
    <w:rsid w:val="27B54BA0"/>
    <w:rsid w:val="27DC5671"/>
    <w:rsid w:val="27E002CE"/>
    <w:rsid w:val="281427E3"/>
    <w:rsid w:val="28395A0A"/>
    <w:rsid w:val="28B83071"/>
    <w:rsid w:val="28B93E29"/>
    <w:rsid w:val="28BD69C7"/>
    <w:rsid w:val="28DA0DE3"/>
    <w:rsid w:val="291B095B"/>
    <w:rsid w:val="293D2CB9"/>
    <w:rsid w:val="29544BD6"/>
    <w:rsid w:val="296B6DBD"/>
    <w:rsid w:val="2980164F"/>
    <w:rsid w:val="29841CA3"/>
    <w:rsid w:val="29AB61D1"/>
    <w:rsid w:val="29DB09B9"/>
    <w:rsid w:val="2A177613"/>
    <w:rsid w:val="2A187AC2"/>
    <w:rsid w:val="2A233F04"/>
    <w:rsid w:val="2A286606"/>
    <w:rsid w:val="2A735AD4"/>
    <w:rsid w:val="2AAC22D1"/>
    <w:rsid w:val="2B1439CF"/>
    <w:rsid w:val="2B366BBF"/>
    <w:rsid w:val="2B614FCD"/>
    <w:rsid w:val="2B794137"/>
    <w:rsid w:val="2BB9010B"/>
    <w:rsid w:val="2BCE6231"/>
    <w:rsid w:val="2BF15B26"/>
    <w:rsid w:val="2C3A2996"/>
    <w:rsid w:val="2C4555B0"/>
    <w:rsid w:val="2C68726E"/>
    <w:rsid w:val="2C8C39F6"/>
    <w:rsid w:val="2CD4199C"/>
    <w:rsid w:val="2CDE0129"/>
    <w:rsid w:val="2CEA11A3"/>
    <w:rsid w:val="2CF66320"/>
    <w:rsid w:val="2CF84592"/>
    <w:rsid w:val="2D1E071B"/>
    <w:rsid w:val="2D1F2D15"/>
    <w:rsid w:val="2D84476A"/>
    <w:rsid w:val="2D852945"/>
    <w:rsid w:val="2DE90B1B"/>
    <w:rsid w:val="2E080614"/>
    <w:rsid w:val="2E085497"/>
    <w:rsid w:val="2E147FB3"/>
    <w:rsid w:val="2E381E6F"/>
    <w:rsid w:val="2E4375F4"/>
    <w:rsid w:val="2E464472"/>
    <w:rsid w:val="2E6F6340"/>
    <w:rsid w:val="2E8B6E4B"/>
    <w:rsid w:val="2EF23CD6"/>
    <w:rsid w:val="2F062E62"/>
    <w:rsid w:val="2F0D49DC"/>
    <w:rsid w:val="2F125D6F"/>
    <w:rsid w:val="2F4607D4"/>
    <w:rsid w:val="2F54712D"/>
    <w:rsid w:val="2F8E1F35"/>
    <w:rsid w:val="30503E51"/>
    <w:rsid w:val="30575825"/>
    <w:rsid w:val="308E2689"/>
    <w:rsid w:val="30AB54C1"/>
    <w:rsid w:val="30DC72B8"/>
    <w:rsid w:val="30EA46FB"/>
    <w:rsid w:val="30F52C4C"/>
    <w:rsid w:val="311B6127"/>
    <w:rsid w:val="314618C4"/>
    <w:rsid w:val="31790ECC"/>
    <w:rsid w:val="31B60179"/>
    <w:rsid w:val="31BA6CB2"/>
    <w:rsid w:val="32876736"/>
    <w:rsid w:val="329361AE"/>
    <w:rsid w:val="329945C9"/>
    <w:rsid w:val="32A0644D"/>
    <w:rsid w:val="32A81A27"/>
    <w:rsid w:val="32D16EAA"/>
    <w:rsid w:val="32DD47F3"/>
    <w:rsid w:val="32E02E3B"/>
    <w:rsid w:val="330215DC"/>
    <w:rsid w:val="33240E2C"/>
    <w:rsid w:val="33454183"/>
    <w:rsid w:val="33721EEB"/>
    <w:rsid w:val="33875454"/>
    <w:rsid w:val="33BB3A1D"/>
    <w:rsid w:val="33BF6594"/>
    <w:rsid w:val="33C64401"/>
    <w:rsid w:val="33FA41CE"/>
    <w:rsid w:val="341037C1"/>
    <w:rsid w:val="344021A4"/>
    <w:rsid w:val="34862EBD"/>
    <w:rsid w:val="348971F4"/>
    <w:rsid w:val="34A26AFE"/>
    <w:rsid w:val="34E40873"/>
    <w:rsid w:val="35131158"/>
    <w:rsid w:val="35833128"/>
    <w:rsid w:val="35CE5488"/>
    <w:rsid w:val="35F46A37"/>
    <w:rsid w:val="360B1BD6"/>
    <w:rsid w:val="365B60EB"/>
    <w:rsid w:val="36B02BC6"/>
    <w:rsid w:val="36B23B4B"/>
    <w:rsid w:val="36C446AB"/>
    <w:rsid w:val="36F86C8C"/>
    <w:rsid w:val="37016490"/>
    <w:rsid w:val="37251EBD"/>
    <w:rsid w:val="37252A1E"/>
    <w:rsid w:val="37435B0A"/>
    <w:rsid w:val="378B0305"/>
    <w:rsid w:val="37CA2A0D"/>
    <w:rsid w:val="37CD5357"/>
    <w:rsid w:val="38007070"/>
    <w:rsid w:val="3810372D"/>
    <w:rsid w:val="38354F3E"/>
    <w:rsid w:val="384D71E5"/>
    <w:rsid w:val="385B38CF"/>
    <w:rsid w:val="3864498E"/>
    <w:rsid w:val="38D140B0"/>
    <w:rsid w:val="38E30B06"/>
    <w:rsid w:val="38FD68FD"/>
    <w:rsid w:val="3911083F"/>
    <w:rsid w:val="395737C8"/>
    <w:rsid w:val="395F1B47"/>
    <w:rsid w:val="39671C86"/>
    <w:rsid w:val="39BE1131"/>
    <w:rsid w:val="3A032FBE"/>
    <w:rsid w:val="3A5A5133"/>
    <w:rsid w:val="3A8D375B"/>
    <w:rsid w:val="3ADF497E"/>
    <w:rsid w:val="3AF6217C"/>
    <w:rsid w:val="3C08520D"/>
    <w:rsid w:val="3D2208D8"/>
    <w:rsid w:val="3D3D30C8"/>
    <w:rsid w:val="3D6D06A3"/>
    <w:rsid w:val="3D9D5A63"/>
    <w:rsid w:val="3DA16CAC"/>
    <w:rsid w:val="3DAD4695"/>
    <w:rsid w:val="3DC20B98"/>
    <w:rsid w:val="3DFF6660"/>
    <w:rsid w:val="3E2C656D"/>
    <w:rsid w:val="3E391907"/>
    <w:rsid w:val="3E692651"/>
    <w:rsid w:val="3E8B558D"/>
    <w:rsid w:val="3E921340"/>
    <w:rsid w:val="3EF933FB"/>
    <w:rsid w:val="3F1B30E3"/>
    <w:rsid w:val="3F310CDF"/>
    <w:rsid w:val="3F3869E1"/>
    <w:rsid w:val="3F9C44E8"/>
    <w:rsid w:val="3FB93C87"/>
    <w:rsid w:val="3FC057F2"/>
    <w:rsid w:val="3FDE6AE5"/>
    <w:rsid w:val="3FE35D39"/>
    <w:rsid w:val="40317A59"/>
    <w:rsid w:val="40337F35"/>
    <w:rsid w:val="406C2EF9"/>
    <w:rsid w:val="407D1FD6"/>
    <w:rsid w:val="40825919"/>
    <w:rsid w:val="409E758E"/>
    <w:rsid w:val="40A915BC"/>
    <w:rsid w:val="40C007D4"/>
    <w:rsid w:val="40CD5ABE"/>
    <w:rsid w:val="411A40CF"/>
    <w:rsid w:val="41463170"/>
    <w:rsid w:val="41891259"/>
    <w:rsid w:val="41BC2410"/>
    <w:rsid w:val="41EA6963"/>
    <w:rsid w:val="421A3B26"/>
    <w:rsid w:val="422D3F28"/>
    <w:rsid w:val="42380C50"/>
    <w:rsid w:val="428D7718"/>
    <w:rsid w:val="42D2271A"/>
    <w:rsid w:val="431C41C5"/>
    <w:rsid w:val="431D7D87"/>
    <w:rsid w:val="433B5E34"/>
    <w:rsid w:val="43461A6B"/>
    <w:rsid w:val="43664B49"/>
    <w:rsid w:val="43696F7C"/>
    <w:rsid w:val="43750D4A"/>
    <w:rsid w:val="43835153"/>
    <w:rsid w:val="43A77CA1"/>
    <w:rsid w:val="43C31075"/>
    <w:rsid w:val="43FB3527"/>
    <w:rsid w:val="444A3643"/>
    <w:rsid w:val="44626ACF"/>
    <w:rsid w:val="447612F2"/>
    <w:rsid w:val="447D46C9"/>
    <w:rsid w:val="44DA759D"/>
    <w:rsid w:val="44EF19F2"/>
    <w:rsid w:val="44F03FC3"/>
    <w:rsid w:val="44F8146A"/>
    <w:rsid w:val="44FB7E33"/>
    <w:rsid w:val="45C621E8"/>
    <w:rsid w:val="45FD5E2E"/>
    <w:rsid w:val="462128F7"/>
    <w:rsid w:val="46434144"/>
    <w:rsid w:val="4667663A"/>
    <w:rsid w:val="466B1D6D"/>
    <w:rsid w:val="46A87566"/>
    <w:rsid w:val="46AB24CF"/>
    <w:rsid w:val="46F4746D"/>
    <w:rsid w:val="47922866"/>
    <w:rsid w:val="479A0C80"/>
    <w:rsid w:val="47A94E7F"/>
    <w:rsid w:val="47BF0DE7"/>
    <w:rsid w:val="47D2350A"/>
    <w:rsid w:val="47E44403"/>
    <w:rsid w:val="47F64CF1"/>
    <w:rsid w:val="47FF5BD6"/>
    <w:rsid w:val="48200FCD"/>
    <w:rsid w:val="485A3E9A"/>
    <w:rsid w:val="4883410E"/>
    <w:rsid w:val="492D2391"/>
    <w:rsid w:val="493B038E"/>
    <w:rsid w:val="4A2C46C5"/>
    <w:rsid w:val="4A4F27DB"/>
    <w:rsid w:val="4A515DF0"/>
    <w:rsid w:val="4A6275E2"/>
    <w:rsid w:val="4AA243EA"/>
    <w:rsid w:val="4ABD5996"/>
    <w:rsid w:val="4AC37CBE"/>
    <w:rsid w:val="4B06362A"/>
    <w:rsid w:val="4B362175"/>
    <w:rsid w:val="4B9165BF"/>
    <w:rsid w:val="4B944949"/>
    <w:rsid w:val="4B9746BC"/>
    <w:rsid w:val="4BD5024B"/>
    <w:rsid w:val="4C1B08AC"/>
    <w:rsid w:val="4C424621"/>
    <w:rsid w:val="4C4A280E"/>
    <w:rsid w:val="4CAC56FE"/>
    <w:rsid w:val="4CD51273"/>
    <w:rsid w:val="4CD52DB7"/>
    <w:rsid w:val="4CD80E2F"/>
    <w:rsid w:val="4CF136D5"/>
    <w:rsid w:val="4D0176C4"/>
    <w:rsid w:val="4D084AF2"/>
    <w:rsid w:val="4E6E750B"/>
    <w:rsid w:val="4EA649E3"/>
    <w:rsid w:val="4F604B42"/>
    <w:rsid w:val="4F6B1AF5"/>
    <w:rsid w:val="4F905147"/>
    <w:rsid w:val="4FB14393"/>
    <w:rsid w:val="4FD33884"/>
    <w:rsid w:val="4FDF015D"/>
    <w:rsid w:val="4FE1061B"/>
    <w:rsid w:val="4FE370AD"/>
    <w:rsid w:val="501F49FD"/>
    <w:rsid w:val="50652C71"/>
    <w:rsid w:val="50AE41EA"/>
    <w:rsid w:val="50F634B1"/>
    <w:rsid w:val="510C5305"/>
    <w:rsid w:val="511A4EA0"/>
    <w:rsid w:val="511E023E"/>
    <w:rsid w:val="51E219EB"/>
    <w:rsid w:val="51E40CB7"/>
    <w:rsid w:val="51FA7AB5"/>
    <w:rsid w:val="520843D7"/>
    <w:rsid w:val="52440C84"/>
    <w:rsid w:val="525517CB"/>
    <w:rsid w:val="52A6609D"/>
    <w:rsid w:val="52B80E30"/>
    <w:rsid w:val="53A31046"/>
    <w:rsid w:val="53AA55BA"/>
    <w:rsid w:val="53BC636D"/>
    <w:rsid w:val="5401405C"/>
    <w:rsid w:val="543505B5"/>
    <w:rsid w:val="548C31C2"/>
    <w:rsid w:val="54A849DF"/>
    <w:rsid w:val="54AB1241"/>
    <w:rsid w:val="54C45EC0"/>
    <w:rsid w:val="54D6013E"/>
    <w:rsid w:val="54F8506F"/>
    <w:rsid w:val="54F91FAD"/>
    <w:rsid w:val="55C90C85"/>
    <w:rsid w:val="55D111DE"/>
    <w:rsid w:val="56244770"/>
    <w:rsid w:val="56D0089A"/>
    <w:rsid w:val="56D94892"/>
    <w:rsid w:val="56E87032"/>
    <w:rsid w:val="56FC37F7"/>
    <w:rsid w:val="572A7F10"/>
    <w:rsid w:val="573512F7"/>
    <w:rsid w:val="576F4822"/>
    <w:rsid w:val="5791623F"/>
    <w:rsid w:val="579A75FD"/>
    <w:rsid w:val="579B292E"/>
    <w:rsid w:val="57F347D8"/>
    <w:rsid w:val="58406E56"/>
    <w:rsid w:val="588A6FED"/>
    <w:rsid w:val="59134814"/>
    <w:rsid w:val="5A582D49"/>
    <w:rsid w:val="5A7C4202"/>
    <w:rsid w:val="5A911142"/>
    <w:rsid w:val="5A9C4B85"/>
    <w:rsid w:val="5ABB756A"/>
    <w:rsid w:val="5AC8500A"/>
    <w:rsid w:val="5AE006FC"/>
    <w:rsid w:val="5B0671A6"/>
    <w:rsid w:val="5B167610"/>
    <w:rsid w:val="5B27469B"/>
    <w:rsid w:val="5B355BAF"/>
    <w:rsid w:val="5B7B022F"/>
    <w:rsid w:val="5B805A7F"/>
    <w:rsid w:val="5B9F2017"/>
    <w:rsid w:val="5BB33A43"/>
    <w:rsid w:val="5BB37E6C"/>
    <w:rsid w:val="5BED59B0"/>
    <w:rsid w:val="5C1226AA"/>
    <w:rsid w:val="5C180B63"/>
    <w:rsid w:val="5C55485D"/>
    <w:rsid w:val="5C613EAD"/>
    <w:rsid w:val="5C6D299F"/>
    <w:rsid w:val="5CD92C6C"/>
    <w:rsid w:val="5CF52286"/>
    <w:rsid w:val="5CF879FE"/>
    <w:rsid w:val="5D082632"/>
    <w:rsid w:val="5D2E4289"/>
    <w:rsid w:val="5D41498A"/>
    <w:rsid w:val="5E03561B"/>
    <w:rsid w:val="5E0F691F"/>
    <w:rsid w:val="5E167440"/>
    <w:rsid w:val="5E235237"/>
    <w:rsid w:val="5E4931BC"/>
    <w:rsid w:val="5E7017F9"/>
    <w:rsid w:val="5E83629B"/>
    <w:rsid w:val="5E9205D0"/>
    <w:rsid w:val="5EBE69AA"/>
    <w:rsid w:val="5EDF52AD"/>
    <w:rsid w:val="5EEB28CE"/>
    <w:rsid w:val="5EF13A09"/>
    <w:rsid w:val="5F2342A1"/>
    <w:rsid w:val="5F754B36"/>
    <w:rsid w:val="5F7B5E79"/>
    <w:rsid w:val="5F8206B3"/>
    <w:rsid w:val="5FA3544C"/>
    <w:rsid w:val="5FA4419B"/>
    <w:rsid w:val="5FA7726F"/>
    <w:rsid w:val="5FCA3A9A"/>
    <w:rsid w:val="5FCB7A19"/>
    <w:rsid w:val="5FD97355"/>
    <w:rsid w:val="5FE762FB"/>
    <w:rsid w:val="5FF27A39"/>
    <w:rsid w:val="60002310"/>
    <w:rsid w:val="600E444C"/>
    <w:rsid w:val="60171678"/>
    <w:rsid w:val="60232743"/>
    <w:rsid w:val="60611634"/>
    <w:rsid w:val="609C5C77"/>
    <w:rsid w:val="60C35983"/>
    <w:rsid w:val="60D1239C"/>
    <w:rsid w:val="60E85FFA"/>
    <w:rsid w:val="60EC70B7"/>
    <w:rsid w:val="60F44FD5"/>
    <w:rsid w:val="613A0ED7"/>
    <w:rsid w:val="614C3178"/>
    <w:rsid w:val="61620A2D"/>
    <w:rsid w:val="61721E5C"/>
    <w:rsid w:val="617D2B01"/>
    <w:rsid w:val="61AA6976"/>
    <w:rsid w:val="61B01D54"/>
    <w:rsid w:val="61DA7FB4"/>
    <w:rsid w:val="620826E5"/>
    <w:rsid w:val="621E3591"/>
    <w:rsid w:val="623F0E10"/>
    <w:rsid w:val="625F1A46"/>
    <w:rsid w:val="627D1480"/>
    <w:rsid w:val="62937D90"/>
    <w:rsid w:val="62AA7CF0"/>
    <w:rsid w:val="62C3615B"/>
    <w:rsid w:val="62C872A0"/>
    <w:rsid w:val="62F12662"/>
    <w:rsid w:val="63060A12"/>
    <w:rsid w:val="632F1589"/>
    <w:rsid w:val="633371DB"/>
    <w:rsid w:val="63E31B72"/>
    <w:rsid w:val="641A09E5"/>
    <w:rsid w:val="64230A1C"/>
    <w:rsid w:val="64631D01"/>
    <w:rsid w:val="6476550A"/>
    <w:rsid w:val="64C228DE"/>
    <w:rsid w:val="64C708FC"/>
    <w:rsid w:val="64DE0B89"/>
    <w:rsid w:val="64F00D49"/>
    <w:rsid w:val="652C3E81"/>
    <w:rsid w:val="65416F6B"/>
    <w:rsid w:val="65916717"/>
    <w:rsid w:val="660C7C6B"/>
    <w:rsid w:val="66326DE1"/>
    <w:rsid w:val="66BA0045"/>
    <w:rsid w:val="66E85E72"/>
    <w:rsid w:val="673D380F"/>
    <w:rsid w:val="677C3B96"/>
    <w:rsid w:val="67AF0AFD"/>
    <w:rsid w:val="67C718D1"/>
    <w:rsid w:val="67DD4B2A"/>
    <w:rsid w:val="67E943FC"/>
    <w:rsid w:val="68181A06"/>
    <w:rsid w:val="684C50C1"/>
    <w:rsid w:val="68643629"/>
    <w:rsid w:val="6880226A"/>
    <w:rsid w:val="68B255D5"/>
    <w:rsid w:val="68B53E01"/>
    <w:rsid w:val="68D31624"/>
    <w:rsid w:val="68F25D9E"/>
    <w:rsid w:val="69456E2B"/>
    <w:rsid w:val="6950205D"/>
    <w:rsid w:val="6978328D"/>
    <w:rsid w:val="697B479A"/>
    <w:rsid w:val="69E7388D"/>
    <w:rsid w:val="69E7746D"/>
    <w:rsid w:val="69ED47E6"/>
    <w:rsid w:val="6A075B38"/>
    <w:rsid w:val="6A4F115D"/>
    <w:rsid w:val="6AC313CD"/>
    <w:rsid w:val="6B22098A"/>
    <w:rsid w:val="6B5544FD"/>
    <w:rsid w:val="6B6F77AF"/>
    <w:rsid w:val="6B9035E2"/>
    <w:rsid w:val="6BB1109F"/>
    <w:rsid w:val="6BCB65E9"/>
    <w:rsid w:val="6BD113BF"/>
    <w:rsid w:val="6BD84575"/>
    <w:rsid w:val="6BF51C27"/>
    <w:rsid w:val="6C3A2596"/>
    <w:rsid w:val="6C42752C"/>
    <w:rsid w:val="6C504872"/>
    <w:rsid w:val="6C666D34"/>
    <w:rsid w:val="6C9846B8"/>
    <w:rsid w:val="6CBF5AE4"/>
    <w:rsid w:val="6D045D51"/>
    <w:rsid w:val="6D251D1D"/>
    <w:rsid w:val="6D3857C4"/>
    <w:rsid w:val="6D613428"/>
    <w:rsid w:val="6D7A2167"/>
    <w:rsid w:val="6D8B6DF3"/>
    <w:rsid w:val="6DFC4948"/>
    <w:rsid w:val="6E0578DF"/>
    <w:rsid w:val="6E5836A4"/>
    <w:rsid w:val="6E6E4E0D"/>
    <w:rsid w:val="6E736CAB"/>
    <w:rsid w:val="6EBE7228"/>
    <w:rsid w:val="6EF9710E"/>
    <w:rsid w:val="6F0F68ED"/>
    <w:rsid w:val="6F386D91"/>
    <w:rsid w:val="6FA959B4"/>
    <w:rsid w:val="6FDC4815"/>
    <w:rsid w:val="700226EF"/>
    <w:rsid w:val="700460D8"/>
    <w:rsid w:val="700A66D9"/>
    <w:rsid w:val="70173375"/>
    <w:rsid w:val="709F4552"/>
    <w:rsid w:val="70C0030A"/>
    <w:rsid w:val="70E62CA2"/>
    <w:rsid w:val="70FC3664"/>
    <w:rsid w:val="71575DCC"/>
    <w:rsid w:val="7168423E"/>
    <w:rsid w:val="7175202A"/>
    <w:rsid w:val="71831381"/>
    <w:rsid w:val="71D74FAB"/>
    <w:rsid w:val="723A7BB2"/>
    <w:rsid w:val="724F5B48"/>
    <w:rsid w:val="726E04C6"/>
    <w:rsid w:val="72D54172"/>
    <w:rsid w:val="72DC0EFA"/>
    <w:rsid w:val="72E4478C"/>
    <w:rsid w:val="72F109C9"/>
    <w:rsid w:val="730B464C"/>
    <w:rsid w:val="73107F47"/>
    <w:rsid w:val="73122C2D"/>
    <w:rsid w:val="734A001E"/>
    <w:rsid w:val="734B5E42"/>
    <w:rsid w:val="734C54D3"/>
    <w:rsid w:val="735D7E34"/>
    <w:rsid w:val="74344677"/>
    <w:rsid w:val="746E2931"/>
    <w:rsid w:val="75172572"/>
    <w:rsid w:val="754D5CA0"/>
    <w:rsid w:val="75A706B1"/>
    <w:rsid w:val="75D4558E"/>
    <w:rsid w:val="75F609C7"/>
    <w:rsid w:val="760D5341"/>
    <w:rsid w:val="76101BAE"/>
    <w:rsid w:val="764D629C"/>
    <w:rsid w:val="76824B2A"/>
    <w:rsid w:val="76CF4CF7"/>
    <w:rsid w:val="76F54E04"/>
    <w:rsid w:val="770E5AE1"/>
    <w:rsid w:val="7791331C"/>
    <w:rsid w:val="77A2541F"/>
    <w:rsid w:val="77D35A5A"/>
    <w:rsid w:val="785A7582"/>
    <w:rsid w:val="78967842"/>
    <w:rsid w:val="78AC1955"/>
    <w:rsid w:val="78DD2859"/>
    <w:rsid w:val="78F70618"/>
    <w:rsid w:val="79110C86"/>
    <w:rsid w:val="79274128"/>
    <w:rsid w:val="79347596"/>
    <w:rsid w:val="79433459"/>
    <w:rsid w:val="79651968"/>
    <w:rsid w:val="798D136F"/>
    <w:rsid w:val="799D236B"/>
    <w:rsid w:val="79AA72CD"/>
    <w:rsid w:val="79ED1D04"/>
    <w:rsid w:val="79FF1D0A"/>
    <w:rsid w:val="7A060233"/>
    <w:rsid w:val="7A45557A"/>
    <w:rsid w:val="7AA52563"/>
    <w:rsid w:val="7B116F75"/>
    <w:rsid w:val="7B2108B8"/>
    <w:rsid w:val="7B491821"/>
    <w:rsid w:val="7B5A10CE"/>
    <w:rsid w:val="7B620870"/>
    <w:rsid w:val="7B7A641B"/>
    <w:rsid w:val="7B7D15BB"/>
    <w:rsid w:val="7B8703B3"/>
    <w:rsid w:val="7B9E7492"/>
    <w:rsid w:val="7BE27D8F"/>
    <w:rsid w:val="7C2C2F45"/>
    <w:rsid w:val="7C4B31A7"/>
    <w:rsid w:val="7C6E425A"/>
    <w:rsid w:val="7C962C4C"/>
    <w:rsid w:val="7CED2324"/>
    <w:rsid w:val="7CF56B9F"/>
    <w:rsid w:val="7D3511F9"/>
    <w:rsid w:val="7D745A54"/>
    <w:rsid w:val="7D8E0D87"/>
    <w:rsid w:val="7DE5359B"/>
    <w:rsid w:val="7E1705D9"/>
    <w:rsid w:val="7E2B24D8"/>
    <w:rsid w:val="7EE06F82"/>
    <w:rsid w:val="7EE17A96"/>
    <w:rsid w:val="7F1B2CC1"/>
    <w:rsid w:val="7F4C7458"/>
    <w:rsid w:val="7F7A04C2"/>
    <w:rsid w:val="7F887383"/>
    <w:rsid w:val="7FBA7EAB"/>
    <w:rsid w:val="7FF542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2"/>
    <w:basedOn w:val="1"/>
    <w:next w:val="1"/>
    <w:qFormat/>
    <w:uiPriority w:val="0"/>
    <w:pPr>
      <w:keepNext/>
      <w:keepLines/>
      <w:spacing w:before="260" w:beforeLines="0" w:after="260" w:afterLines="0" w:line="415" w:lineRule="auto"/>
      <w:outlineLvl w:val="1"/>
    </w:pPr>
    <w:rPr>
      <w:rFonts w:ascii="Cambria" w:hAnsi="Cambria"/>
      <w:b/>
      <w:bCs/>
      <w:sz w:val="32"/>
      <w:szCs w:val="32"/>
    </w:rPr>
  </w:style>
  <w:style w:type="character" w:default="1" w:styleId="16">
    <w:name w:val="Default Paragraph Font"/>
    <w:unhideWhenUsed/>
    <w:uiPriority w:val="1"/>
  </w:style>
  <w:style w:type="table" w:default="1" w:styleId="14">
    <w:name w:val="Normal Table"/>
    <w:unhideWhenUsed/>
    <w:uiPriority w:val="99"/>
    <w:tblPr>
      <w:tblStyle w:val="14"/>
      <w:tblCellMar>
        <w:top w:w="0" w:type="dxa"/>
        <w:left w:w="108" w:type="dxa"/>
        <w:bottom w:w="0" w:type="dxa"/>
        <w:right w:w="108" w:type="dxa"/>
      </w:tblCellMar>
    </w:tblPr>
  </w:style>
  <w:style w:type="paragraph" w:styleId="3">
    <w:name w:val="annotation text"/>
    <w:basedOn w:val="1"/>
    <w:link w:val="22"/>
    <w:qFormat/>
    <w:uiPriority w:val="0"/>
    <w:pPr>
      <w:jc w:val="left"/>
    </w:pPr>
  </w:style>
  <w:style w:type="paragraph" w:styleId="4">
    <w:name w:val="Body Text"/>
    <w:basedOn w:val="1"/>
    <w:qFormat/>
    <w:uiPriority w:val="0"/>
    <w:rPr>
      <w:rFonts w:ascii="仿宋_GB2312" w:eastAsia="仿宋_GB2312"/>
      <w:sz w:val="32"/>
    </w:rPr>
  </w:style>
  <w:style w:type="paragraph" w:styleId="5">
    <w:name w:val="Body Text Indent"/>
    <w:basedOn w:val="1"/>
    <w:qFormat/>
    <w:uiPriority w:val="0"/>
    <w:pPr>
      <w:spacing w:after="120"/>
      <w:ind w:left="420" w:leftChars="200"/>
    </w:pPr>
  </w:style>
  <w:style w:type="paragraph" w:styleId="6">
    <w:name w:val="Plain Text"/>
    <w:basedOn w:val="1"/>
    <w:link w:val="23"/>
    <w:qFormat/>
    <w:uiPriority w:val="0"/>
    <w:rPr>
      <w:rFonts w:ascii="宋体" w:hAnsi="Courier New"/>
    </w:rPr>
  </w:style>
  <w:style w:type="paragraph" w:styleId="7">
    <w:name w:val="Balloon Text"/>
    <w:basedOn w:val="1"/>
    <w:link w:val="24"/>
    <w:qFormat/>
    <w:uiPriority w:val="0"/>
    <w:rPr>
      <w:sz w:val="18"/>
      <w:szCs w:val="18"/>
    </w:rPr>
  </w:style>
  <w:style w:type="paragraph" w:styleId="8">
    <w:name w:val="footer"/>
    <w:basedOn w:val="1"/>
    <w:link w:val="25"/>
    <w:qFormat/>
    <w:uiPriority w:val="99"/>
    <w:pPr>
      <w:tabs>
        <w:tab w:val="center" w:pos="4153"/>
        <w:tab w:val="right" w:pos="8306"/>
      </w:tabs>
      <w:snapToGrid w:val="0"/>
      <w:jc w:val="left"/>
    </w:pPr>
    <w:rPr>
      <w:sz w:val="18"/>
      <w:szCs w:val="18"/>
    </w:rPr>
  </w:style>
  <w:style w:type="paragraph" w:styleId="9">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pPr>
      <w:spacing w:line="360" w:lineRule="auto"/>
      <w:jc w:val="left"/>
    </w:pPr>
    <w:rPr>
      <w:rFonts w:ascii="宋体" w:hAnsi="宋体"/>
      <w:b/>
      <w:caps/>
      <w:color w:val="FF0000"/>
      <w:szCs w:val="21"/>
    </w:rPr>
  </w:style>
  <w:style w:type="paragraph" w:styleId="11">
    <w:name w:val="toc 2"/>
    <w:basedOn w:val="1"/>
    <w:next w:val="1"/>
    <w:unhideWhenUsed/>
    <w:qFormat/>
    <w:uiPriority w:val="0"/>
    <w:pPr>
      <w:ind w:left="420" w:leftChars="200"/>
    </w:pPr>
  </w:style>
  <w:style w:type="paragraph" w:styleId="12">
    <w:name w:val="Normal (Web)"/>
    <w:basedOn w:val="1"/>
    <w:uiPriority w:val="0"/>
    <w:pPr>
      <w:spacing w:before="100" w:beforeAutospacing="1" w:after="100" w:afterAutospacing="1"/>
      <w:ind w:left="0" w:right="0"/>
      <w:jc w:val="left"/>
    </w:pPr>
    <w:rPr>
      <w:kern w:val="0"/>
      <w:sz w:val="24"/>
      <w:lang w:val="en-US" w:eastAsia="zh-CN" w:bidi="ar"/>
    </w:rPr>
  </w:style>
  <w:style w:type="paragraph" w:styleId="13">
    <w:name w:val="annotation subject"/>
    <w:basedOn w:val="3"/>
    <w:next w:val="3"/>
    <w:link w:val="27"/>
    <w:qFormat/>
    <w:uiPriority w:val="0"/>
    <w:rPr>
      <w:b/>
      <w:bCs/>
    </w:rPr>
  </w:style>
  <w:style w:type="table" w:styleId="15">
    <w:name w:val="Table Grid"/>
    <w:basedOn w:val="14"/>
    <w:qFormat/>
    <w:uiPriority w:val="0"/>
    <w:pPr>
      <w:widowControl w:val="0"/>
      <w:jc w:val="both"/>
    </w:pPr>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rPr>
  </w:style>
  <w:style w:type="character" w:styleId="18">
    <w:name w:val="page number"/>
    <w:qFormat/>
    <w:uiPriority w:val="0"/>
  </w:style>
  <w:style w:type="character" w:styleId="19">
    <w:name w:val="FollowedHyperlink"/>
    <w:qFormat/>
    <w:uiPriority w:val="0"/>
    <w:rPr>
      <w:color w:val="800080"/>
      <w:u w:val="single"/>
    </w:rPr>
  </w:style>
  <w:style w:type="character" w:styleId="20">
    <w:name w:val="Hyperlink"/>
    <w:semiHidden/>
    <w:qFormat/>
    <w:uiPriority w:val="0"/>
    <w:rPr>
      <w:rFonts w:cs="Times New Roman"/>
      <w:color w:val="1F4F88"/>
      <w:u w:val="none"/>
    </w:rPr>
  </w:style>
  <w:style w:type="character" w:styleId="21">
    <w:name w:val="annotation reference"/>
    <w:qFormat/>
    <w:uiPriority w:val="0"/>
    <w:rPr>
      <w:sz w:val="21"/>
      <w:szCs w:val="21"/>
    </w:rPr>
  </w:style>
  <w:style w:type="character" w:customStyle="1" w:styleId="22">
    <w:name w:val="批注文字 字符"/>
    <w:link w:val="3"/>
    <w:qFormat/>
    <w:uiPriority w:val="0"/>
    <w:rPr>
      <w:kern w:val="2"/>
      <w:sz w:val="21"/>
    </w:rPr>
  </w:style>
  <w:style w:type="character" w:customStyle="1" w:styleId="23">
    <w:name w:val="纯文本 字符"/>
    <w:link w:val="6"/>
    <w:qFormat/>
    <w:uiPriority w:val="0"/>
    <w:rPr>
      <w:rFonts w:ascii="宋体" w:hAnsi="Courier New" w:eastAsia="宋体"/>
      <w:kern w:val="2"/>
      <w:sz w:val="21"/>
      <w:lang w:val="en-US" w:eastAsia="zh-CN" w:bidi="ar-SA"/>
    </w:rPr>
  </w:style>
  <w:style w:type="character" w:customStyle="1" w:styleId="24">
    <w:name w:val="批注框文本 字符"/>
    <w:link w:val="7"/>
    <w:qFormat/>
    <w:uiPriority w:val="0"/>
    <w:rPr>
      <w:kern w:val="2"/>
      <w:sz w:val="18"/>
      <w:szCs w:val="18"/>
    </w:rPr>
  </w:style>
  <w:style w:type="character" w:customStyle="1" w:styleId="25">
    <w:name w:val="页脚 字符"/>
    <w:link w:val="8"/>
    <w:qFormat/>
    <w:locked/>
    <w:uiPriority w:val="99"/>
    <w:rPr>
      <w:kern w:val="2"/>
      <w:sz w:val="18"/>
      <w:szCs w:val="18"/>
    </w:rPr>
  </w:style>
  <w:style w:type="character" w:customStyle="1" w:styleId="26">
    <w:name w:val="页眉 字符"/>
    <w:link w:val="9"/>
    <w:qFormat/>
    <w:uiPriority w:val="0"/>
    <w:rPr>
      <w:rFonts w:eastAsia="宋体"/>
      <w:kern w:val="2"/>
      <w:sz w:val="18"/>
      <w:szCs w:val="18"/>
      <w:lang w:val="en-US" w:eastAsia="zh-CN" w:bidi="ar-SA"/>
    </w:rPr>
  </w:style>
  <w:style w:type="character" w:customStyle="1" w:styleId="27">
    <w:name w:val="批注主题 字符"/>
    <w:link w:val="13"/>
    <w:qFormat/>
    <w:uiPriority w:val="0"/>
    <w:rPr>
      <w:b/>
      <w:bCs/>
      <w:kern w:val="2"/>
      <w:sz w:val="21"/>
    </w:rPr>
  </w:style>
  <w:style w:type="character" w:customStyle="1" w:styleId="28">
    <w:name w:val="纯文本 Char"/>
    <w:qFormat/>
    <w:uiPriority w:val="0"/>
    <w:rPr>
      <w:rFonts w:ascii="宋体" w:hAnsi="Courier New" w:eastAsia="宋体"/>
      <w:kern w:val="2"/>
      <w:sz w:val="21"/>
      <w:lang w:val="en-US" w:eastAsia="zh-CN" w:bidi="ar-SA"/>
    </w:rPr>
  </w:style>
  <w:style w:type="character" w:customStyle="1" w:styleId="29">
    <w:name w:val="Char Char3"/>
    <w:qFormat/>
    <w:uiPriority w:val="0"/>
    <w:rPr>
      <w:rFonts w:ascii="宋体" w:hAnsi="Courier New" w:eastAsia="宋体"/>
      <w:kern w:val="2"/>
      <w:sz w:val="21"/>
      <w:lang w:val="en-US" w:eastAsia="zh-CN" w:bidi="ar-SA"/>
    </w:rPr>
  </w:style>
  <w:style w:type="character" w:customStyle="1" w:styleId="30">
    <w:name w:val="纯文本 Char2"/>
    <w:semiHidden/>
    <w:qFormat/>
    <w:uiPriority w:val="99"/>
    <w:rPr>
      <w:rFonts w:ascii="宋体" w:hAnsi="Courier New" w:eastAsia="宋体" w:cs="Courier New"/>
      <w:szCs w:val="21"/>
    </w:rPr>
  </w:style>
  <w:style w:type="character" w:customStyle="1" w:styleId="31">
    <w:name w:val="HTML Markup"/>
    <w:qFormat/>
    <w:uiPriority w:val="0"/>
    <w:rPr>
      <w:vanish/>
      <w:color w:val="FF0000"/>
    </w:rPr>
  </w:style>
  <w:style w:type="character" w:customStyle="1" w:styleId="32">
    <w:name w:val="Char Char2"/>
    <w:qFormat/>
    <w:uiPriority w:val="0"/>
    <w:rPr>
      <w:rFonts w:ascii="宋体" w:hAnsi="Courier New" w:cs="宋体"/>
      <w:kern w:val="2"/>
      <w:sz w:val="21"/>
      <w:szCs w:val="21"/>
    </w:rPr>
  </w:style>
  <w:style w:type="character" w:customStyle="1" w:styleId="33">
    <w:name w:val="apple-converted-space"/>
    <w:qFormat/>
    <w:uiPriority w:val="0"/>
  </w:style>
  <w:style w:type="character" w:customStyle="1" w:styleId="34">
    <w:name w:val="Char Char5"/>
    <w:qFormat/>
    <w:uiPriority w:val="0"/>
    <w:rPr>
      <w:rFonts w:ascii="宋体" w:hAnsi="Courier New" w:eastAsia="宋体"/>
      <w:kern w:val="2"/>
      <w:sz w:val="21"/>
      <w:lang w:val="en-US" w:eastAsia="zh-CN" w:bidi="ar-SA"/>
    </w:rPr>
  </w:style>
  <w:style w:type="paragraph" w:customStyle="1" w:styleId="3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36">
    <w:name w:val="二级列表 Char"/>
    <w:basedOn w:val="1"/>
    <w:qFormat/>
    <w:uiPriority w:val="0"/>
    <w:rPr>
      <w:rFonts w:ascii="Calibri" w:hAnsi="Calibri"/>
    </w:rPr>
  </w:style>
  <w:style w:type="paragraph" w:customStyle="1" w:styleId="37">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3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9">
    <w:name w:val="列出段落1"/>
    <w:basedOn w:val="1"/>
    <w:qFormat/>
    <w:uiPriority w:val="0"/>
    <w:pPr>
      <w:ind w:firstLine="420" w:firstLineChars="200"/>
    </w:pPr>
    <w:rPr>
      <w:rFonts w:ascii="Calibri" w:hAnsi="Calibri"/>
      <w:szCs w:val="22"/>
    </w:rPr>
  </w:style>
  <w:style w:type="paragraph" w:customStyle="1" w:styleId="40">
    <w:name w:val="1"/>
    <w:basedOn w:val="1"/>
    <w:qFormat/>
    <w:uiPriority w:val="0"/>
    <w:pPr>
      <w:widowControl/>
      <w:spacing w:before="100" w:beforeAutospacing="1" w:after="100" w:afterAutospacing="1"/>
      <w:jc w:val="left"/>
    </w:pPr>
    <w:rPr>
      <w:rFonts w:hint="eastAsia" w:ascii="宋体" w:hAnsi="宋体"/>
      <w:kern w:val="0"/>
      <w:sz w:val="24"/>
      <w:szCs w:val="24"/>
    </w:rPr>
  </w:style>
  <w:style w:type="character" w:customStyle="1" w:styleId="41">
    <w:name w:val="font11"/>
    <w:uiPriority w:val="0"/>
    <w:rPr>
      <w:rFonts w:hint="eastAsia" w:ascii="宋体" w:hAnsi="宋体" w:eastAsia="宋体"/>
      <w:color w:val="000000"/>
      <w:sz w:val="21"/>
      <w:szCs w:val="21"/>
      <w:u w:val="none"/>
    </w:rPr>
  </w:style>
  <w:style w:type="character" w:customStyle="1" w:styleId="42">
    <w:name w:val="font21"/>
    <w:uiPriority w:val="0"/>
    <w:rPr>
      <w:rFonts w:hint="default" w:ascii="Times New Roman" w:hAnsi="Times New Roman" w:cs="Times New Roman"/>
      <w:color w:val="000000"/>
      <w:sz w:val="21"/>
      <w:szCs w:val="21"/>
      <w:u w:val="none"/>
    </w:rPr>
  </w:style>
  <w:style w:type="character" w:customStyle="1" w:styleId="43">
    <w:name w:val="font31"/>
    <w:basedOn w:val="16"/>
    <w:uiPriority w:val="0"/>
    <w:rPr>
      <w:rFonts w:hint="default" w:ascii="Times New Roman" w:hAnsi="Times New Roman" w:cs="Times New Roman"/>
      <w:color w:val="000000"/>
      <w:sz w:val="21"/>
      <w:szCs w:val="21"/>
      <w:u w:val="none"/>
    </w:rPr>
  </w:style>
  <w:style w:type="character" w:customStyle="1" w:styleId="44">
    <w:name w:val="NormalCharacter"/>
    <w:qFormat/>
    <w:uiPriority w:val="0"/>
  </w:style>
  <w:style w:type="paragraph" w:customStyle="1" w:styleId="45">
    <w:name w:val="潍柴文档标题2"/>
    <w:basedOn w:val="2"/>
    <w:next w:val="46"/>
    <w:qFormat/>
    <w:uiPriority w:val="0"/>
    <w:pPr>
      <w:numPr>
        <w:ilvl w:val="1"/>
        <w:numId w:val="1"/>
      </w:numPr>
      <w:pBdr>
        <w:bottom w:val="single" w:color="auto" w:sz="2" w:space="1"/>
      </w:pBdr>
      <w:spacing w:before="0" w:after="0" w:line="360" w:lineRule="auto"/>
      <w:jc w:val="left"/>
    </w:pPr>
    <w:rPr>
      <w:rFonts w:ascii="Times New Roman" w:hAnsi="Times New Roman"/>
      <w:sz w:val="28"/>
    </w:rPr>
  </w:style>
  <w:style w:type="paragraph" w:customStyle="1" w:styleId="46">
    <w:name w:val="潍柴文档正文"/>
    <w:basedOn w:val="1"/>
    <w:qFormat/>
    <w:uiPriority w:val="0"/>
    <w:pPr>
      <w:spacing w:line="360" w:lineRule="auto"/>
      <w:ind w:firstLine="200" w:firstLineChars="200"/>
    </w:pPr>
    <w:rPr>
      <w:rFonts w:ascii="Times New Roman" w:hAnsi="Times New Roman"/>
      <w:sz w:val="24"/>
    </w:rPr>
  </w:style>
  <w:style w:type="paragraph" w:customStyle="1" w:styleId="47">
    <w:name w:val="潍柴文档正文一级标题"/>
    <w:basedOn w:val="46"/>
    <w:qFormat/>
    <w:uiPriority w:val="0"/>
    <w:pPr>
      <w:numPr>
        <w:ilvl w:val="0"/>
        <w:numId w:val="2"/>
      </w:numPr>
      <w:ind w:firstLine="0" w:firstLineChars="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5770</Words>
  <Characters>6015</Characters>
  <Lines>32</Lines>
  <Paragraphs>9</Paragraphs>
  <TotalTime>2</TotalTime>
  <ScaleCrop>false</ScaleCrop>
  <LinksUpToDate>false</LinksUpToDate>
  <CharactersWithSpaces>6192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2019-07-01T05:55:00Z</dcterms:created>
  <dc:creator>微软用户</dc:creator>
  <cp:lastModifiedBy>赵力</cp:lastModifiedBy>
  <cp:lastPrinted>2019-12-11T01:44:00Z</cp:lastPrinted>
  <dcterms:modified xsi:type="dcterms:W3CDTF">2026-07-31T08:37:44Z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C0428FBB62064B98BCF65B8C5E869B06_13</vt:lpwstr>
  </property>
  <property fmtid="{D5CDD505-2E9C-101B-9397-08002B2CF9AE}" pid="4" name="KSOTemplateDocerSaveRecord">
    <vt:lpwstr>eyJoZGlkIjoiZjIwM2ZlOTk0ZDk1M2U2OTBjOGU4YmYyMTgyOTViMmEiLCJ1c2VySWQiOiIxNzY1NTU2MTQ1In0=</vt:lpwstr>
  </property>
</Properties>
</file>